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0C77" w14:textId="127DAE69" w:rsidR="006532BC" w:rsidRPr="00E919AC" w:rsidRDefault="006532BC" w:rsidP="000151EA">
      <w:pPr>
        <w:spacing w:after="36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AC">
        <w:rPr>
          <w:rFonts w:ascii="Times New Roman" w:hAnsi="Times New Roman" w:cs="Times New Roman"/>
          <w:b/>
          <w:sz w:val="28"/>
          <w:szCs w:val="28"/>
        </w:rPr>
        <w:t>ОБЩАЯ ХАРАКТЕРИСТИКА ЛЕКАРСТВЕННОГО ПРЕПАРАТА</w:t>
      </w:r>
    </w:p>
    <w:p w14:paraId="2D232966" w14:textId="2FBDB696" w:rsidR="000A0ECB" w:rsidRPr="00E919AC" w:rsidRDefault="006532BC" w:rsidP="000151EA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9AC">
        <w:rPr>
          <w:rFonts w:ascii="Times New Roman" w:hAnsi="Times New Roman" w:cs="Times New Roman"/>
          <w:b/>
          <w:sz w:val="24"/>
          <w:szCs w:val="24"/>
        </w:rPr>
        <w:t>НАИМЕНОВАНИЕ ЛЕКАРСТВЕННОГО ПРЕПАРАТА</w:t>
      </w:r>
    </w:p>
    <w:p w14:paraId="2A602367" w14:textId="7C6C2F99" w:rsidR="00A20556" w:rsidRPr="0026167D" w:rsidRDefault="008F2C96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115339"/>
      <w:r>
        <w:rPr>
          <w:rFonts w:ascii="Times New Roman" w:hAnsi="Times New Roman" w:cs="Times New Roman"/>
          <w:color w:val="000000"/>
          <w:sz w:val="24"/>
          <w:szCs w:val="24"/>
        </w:rPr>
        <w:t>ТОБРАМИЦИН Фармасинтез</w:t>
      </w:r>
      <w:r w:rsidR="0089675B" w:rsidRPr="0026167D">
        <w:rPr>
          <w:rFonts w:ascii="Times New Roman" w:hAnsi="Times New Roman" w:cs="Times New Roman"/>
          <w:sz w:val="24"/>
          <w:szCs w:val="24"/>
        </w:rPr>
        <w:t>,</w:t>
      </w:r>
      <w:r w:rsidR="00B6624E" w:rsidRPr="0026167D">
        <w:rPr>
          <w:rFonts w:ascii="Times New Roman" w:hAnsi="Times New Roman" w:cs="Times New Roman"/>
          <w:sz w:val="24"/>
          <w:szCs w:val="24"/>
        </w:rPr>
        <w:t xml:space="preserve"> </w:t>
      </w:r>
      <w:r w:rsidR="007A4907">
        <w:rPr>
          <w:rFonts w:ascii="Times New Roman" w:hAnsi="Times New Roman" w:cs="Times New Roman"/>
          <w:sz w:val="24"/>
          <w:szCs w:val="24"/>
        </w:rPr>
        <w:t>300</w:t>
      </w:r>
      <w:r w:rsidR="007A4907" w:rsidRPr="0026167D">
        <w:rPr>
          <w:rFonts w:ascii="Times New Roman" w:hAnsi="Times New Roman" w:cs="Times New Roman"/>
          <w:sz w:val="24"/>
          <w:szCs w:val="24"/>
        </w:rPr>
        <w:t xml:space="preserve"> </w:t>
      </w:r>
      <w:r w:rsidR="00B6624E" w:rsidRPr="0026167D">
        <w:rPr>
          <w:rFonts w:ascii="Times New Roman" w:hAnsi="Times New Roman" w:cs="Times New Roman"/>
          <w:sz w:val="24"/>
          <w:szCs w:val="24"/>
        </w:rPr>
        <w:t>мг</w:t>
      </w:r>
      <w:r w:rsidR="0089675B" w:rsidRPr="0026167D">
        <w:rPr>
          <w:rFonts w:ascii="Times New Roman" w:hAnsi="Times New Roman" w:cs="Times New Roman"/>
          <w:sz w:val="24"/>
          <w:szCs w:val="24"/>
        </w:rPr>
        <w:t>,</w:t>
      </w:r>
      <w:r w:rsidR="0059314C" w:rsidRPr="0026167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D4870" w:rsidRPr="0026167D">
        <w:rPr>
          <w:rFonts w:ascii="Times New Roman" w:hAnsi="Times New Roman" w:cs="Times New Roman"/>
          <w:color w:val="000000"/>
          <w:sz w:val="24"/>
          <w:szCs w:val="24"/>
        </w:rPr>
        <w:t>раствор для ингаляций</w:t>
      </w:r>
    </w:p>
    <w:p w14:paraId="19EA00B1" w14:textId="569B9997" w:rsidR="00D016A0" w:rsidRPr="00E919AC" w:rsidRDefault="00360341" w:rsidP="000151E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9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75DC" w:rsidRPr="00E919AC">
        <w:rPr>
          <w:rFonts w:ascii="Times New Roman" w:hAnsi="Times New Roman" w:cs="Times New Roman"/>
          <w:b/>
          <w:sz w:val="24"/>
          <w:szCs w:val="24"/>
        </w:rPr>
        <w:t xml:space="preserve">КАЧЕСТВЕННЫЙ И </w:t>
      </w:r>
      <w:r w:rsidR="006532BC" w:rsidRPr="00E919AC">
        <w:rPr>
          <w:rFonts w:ascii="Times New Roman" w:hAnsi="Times New Roman" w:cs="Times New Roman"/>
          <w:b/>
          <w:sz w:val="24"/>
          <w:szCs w:val="24"/>
        </w:rPr>
        <w:t>КОЛИЧЕСТВЕННЫЙ СОСТАВ</w:t>
      </w:r>
    </w:p>
    <w:p w14:paraId="3CB052AD" w14:textId="179A2B4A" w:rsidR="0080157F" w:rsidRDefault="00A84071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sz w:val="24"/>
          <w:szCs w:val="24"/>
        </w:rPr>
        <w:t xml:space="preserve">Действующее вещество: </w:t>
      </w:r>
      <w:r w:rsidR="0080157F" w:rsidRPr="0026167D">
        <w:rPr>
          <w:rFonts w:ascii="Times New Roman" w:hAnsi="Times New Roman" w:cs="Times New Roman"/>
          <w:color w:val="000000"/>
          <w:sz w:val="24"/>
          <w:szCs w:val="24"/>
        </w:rPr>
        <w:t>тобрамицин.</w:t>
      </w:r>
    </w:p>
    <w:p w14:paraId="7B4F955B" w14:textId="5751C922" w:rsidR="007A4907" w:rsidRPr="0026167D" w:rsidRDefault="007A4907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5C535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флакон содержит 300 мг тобрамицина в 4 мл раствора для ингаляций.</w:t>
      </w:r>
    </w:p>
    <w:p w14:paraId="4EB96B77" w14:textId="107B7593" w:rsidR="00A20556" w:rsidRPr="00E919AC" w:rsidRDefault="001A4FBA" w:rsidP="00F334F1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Полный </w:t>
      </w:r>
      <w:r w:rsidR="007A49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="007A4907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вспомогательных веществ приведен в разделе 6.1.</w:t>
      </w:r>
    </w:p>
    <w:p w14:paraId="3610B6CE" w14:textId="486F2053" w:rsidR="00AF5676" w:rsidRPr="00E919AC" w:rsidRDefault="00D96BBD" w:rsidP="00ED6583">
      <w:pPr>
        <w:pStyle w:val="a3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9AC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ЛЕКАРСТВЕННАЯ ФОРМА</w:t>
      </w:r>
    </w:p>
    <w:p w14:paraId="26E9329B" w14:textId="6B5A4B03" w:rsidR="007A4907" w:rsidRDefault="0026167D" w:rsidP="00ED658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="0080157F">
        <w:rPr>
          <w:rFonts w:ascii="Times New Roman CYR" w:hAnsi="Times New Roman CYR" w:cs="Times New Roman CYR"/>
          <w:color w:val="000000"/>
          <w:sz w:val="24"/>
          <w:szCs w:val="24"/>
        </w:rPr>
        <w:t>аствор для ингаляций</w:t>
      </w:r>
      <w:r w:rsidR="007A490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65C413C2" w14:textId="01FC9E4A" w:rsidR="0080157F" w:rsidRPr="0026167D" w:rsidRDefault="007A4907" w:rsidP="00ED658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0157F">
        <w:rPr>
          <w:rFonts w:ascii="Times New Roman CYR" w:hAnsi="Times New Roman CYR" w:cs="Times New Roman CYR"/>
          <w:color w:val="000000"/>
          <w:sz w:val="24"/>
          <w:szCs w:val="24"/>
        </w:rPr>
        <w:t>розрачный бесцветный или слегка желтоваты</w:t>
      </w:r>
      <w:r w:rsidR="00975CF2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="0080157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раствор</w:t>
      </w:r>
      <w:r w:rsidR="0026167D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42041F2" w14:textId="3A5C8395" w:rsidR="00AF5676" w:rsidRPr="00E919AC" w:rsidRDefault="00A01694" w:rsidP="00ED658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9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AF5676" w:rsidRPr="00E919AC">
        <w:rPr>
          <w:rFonts w:ascii="Times New Roman" w:hAnsi="Times New Roman" w:cs="Times New Roman"/>
          <w:b/>
          <w:color w:val="000000"/>
          <w:sz w:val="24"/>
          <w:szCs w:val="24"/>
        </w:rPr>
        <w:t>КЛИНИЧЕСКИЕ ДАННЫЕ</w:t>
      </w:r>
    </w:p>
    <w:p w14:paraId="02ACC926" w14:textId="7EB9C802" w:rsidR="00C37AC9" w:rsidRDefault="00A01694" w:rsidP="00ED6583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EA6">
        <w:rPr>
          <w:rFonts w:ascii="Times New Roman" w:hAnsi="Times New Roman" w:cs="Times New Roman"/>
          <w:b/>
          <w:color w:val="000000"/>
          <w:sz w:val="24"/>
          <w:szCs w:val="24"/>
        </w:rPr>
        <w:t>4.1. Показания к применению</w:t>
      </w:r>
    </w:p>
    <w:p w14:paraId="11E1C22D" w14:textId="293426BB" w:rsidR="00710E9C" w:rsidRPr="0026167D" w:rsidRDefault="007A4907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</w:t>
      </w:r>
      <w:r w:rsidR="00542B77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парат ТОБРАМИЦИН Фармасинтез показан к применению у взрослых и детей в возрасте от 6 до 18 лет для п</w:t>
      </w:r>
      <w:r w:rsidR="00742976">
        <w:rPr>
          <w:rFonts w:ascii="Times New Roman CYR" w:hAnsi="Times New Roman CYR" w:cs="Times New Roman CYR"/>
          <w:color w:val="000000"/>
          <w:sz w:val="24"/>
          <w:szCs w:val="24"/>
        </w:rPr>
        <w:t>родолжительно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</w:t>
      </w:r>
      <w:r w:rsidR="00742976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лечени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742976">
        <w:rPr>
          <w:rFonts w:ascii="Times New Roman CYR" w:hAnsi="Times New Roman CYR" w:cs="Times New Roman CYR"/>
          <w:color w:val="000000"/>
          <w:sz w:val="24"/>
          <w:szCs w:val="24"/>
        </w:rPr>
        <w:t xml:space="preserve"> хронической легочной инфекции, вызванной </w:t>
      </w:r>
      <w:r w:rsidR="00742976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Pseudomonas aeruginosa,</w:t>
      </w:r>
      <w:r w:rsidR="00742976">
        <w:rPr>
          <w:rFonts w:ascii="Times New Roman CYR" w:hAnsi="Times New Roman CYR" w:cs="Times New Roman CYR"/>
          <w:color w:val="000000"/>
          <w:sz w:val="24"/>
          <w:szCs w:val="24"/>
        </w:rPr>
        <w:t xml:space="preserve"> у пациентов с муковисцидозом.</w:t>
      </w:r>
    </w:p>
    <w:p w14:paraId="24F8250B" w14:textId="3FF0BF25" w:rsidR="00067F47" w:rsidRPr="00F334F1" w:rsidRDefault="00062B0E" w:rsidP="00F334F1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34F1">
        <w:rPr>
          <w:rFonts w:ascii="Times New Roman" w:hAnsi="Times New Roman" w:cs="Times New Roman"/>
          <w:b/>
          <w:color w:val="000000"/>
          <w:sz w:val="24"/>
          <w:szCs w:val="24"/>
        </w:rPr>
        <w:t>4.2. Режим дозирования</w:t>
      </w:r>
      <w:r w:rsidR="001575BE" w:rsidRPr="00F334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способ применения</w:t>
      </w:r>
    </w:p>
    <w:p w14:paraId="4B2D92BC" w14:textId="60565F73" w:rsidR="00CD2BAB" w:rsidRPr="0026167D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0370871"/>
      <w:r w:rsidRPr="004547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Препарат </w:t>
      </w:r>
      <w:r w:rsidR="00D242E9" w:rsidRPr="00454736">
        <w:rPr>
          <w:rFonts w:ascii="Times New Roman" w:hAnsi="Times New Roman" w:cs="Times New Roman"/>
          <w:iCs/>
          <w:color w:val="000000"/>
          <w:sz w:val="24"/>
          <w:szCs w:val="24"/>
        </w:rPr>
        <w:t>ТОБРАМИЦИН Фармасинтез</w:t>
      </w:r>
      <w:r w:rsidRPr="004547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предназначен только для ингаляционного применения у взрослых и детей старше 6 лет!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Вводить препарат парентерально нельзя.</w:t>
      </w:r>
    </w:p>
    <w:p w14:paraId="468BAF58" w14:textId="103B3A54" w:rsidR="00CD2BAB" w:rsidRPr="0026167D" w:rsidRDefault="00CD2BAB" w:rsidP="0026167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Лечение препаратом </w:t>
      </w:r>
      <w:r w:rsidR="00D242E9" w:rsidRPr="0026167D">
        <w:rPr>
          <w:rFonts w:ascii="Times New Roman" w:hAnsi="Times New Roman" w:cs="Times New Roman"/>
          <w:color w:val="000000"/>
          <w:sz w:val="24"/>
          <w:szCs w:val="24"/>
        </w:rPr>
        <w:t>ТОБРАМИЦИН</w:t>
      </w:r>
      <w:r w:rsidR="00D242E9">
        <w:rPr>
          <w:rFonts w:ascii="Times New Roman" w:hAnsi="Times New Roman" w:cs="Times New Roman"/>
          <w:color w:val="000000"/>
          <w:sz w:val="24"/>
          <w:szCs w:val="24"/>
        </w:rPr>
        <w:t xml:space="preserve"> Фармасинтез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должно проводиться врачом, имеющим опыт лечения пациентов с муковисцидозом, и в соответствии с официальными рекомендациями</w:t>
      </w:r>
      <w:r w:rsidR="001221A5" w:rsidRPr="002616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по применению антибактериальных препаратов</w:t>
      </w:r>
      <w:r w:rsidRPr="0026167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473598F" w14:textId="083FBE82" w:rsidR="004E6841" w:rsidRPr="00454736" w:rsidRDefault="004E6841" w:rsidP="004E6841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Режим дозирования</w:t>
      </w:r>
    </w:p>
    <w:p w14:paraId="5AD8669C" w14:textId="77777777" w:rsidR="00E73B30" w:rsidRPr="00454736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Рекомендуемая доза для взрослых и детей старше 6 лет </w:t>
      </w:r>
    </w:p>
    <w:p w14:paraId="04E8DB9F" w14:textId="1EA3008D" w:rsidR="00CD2BAB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Небулайзерная ингаляция взрослым и детям - по 300 мг </w:t>
      </w:r>
      <w:r w:rsidR="00454736">
        <w:rPr>
          <w:rFonts w:ascii="Times New Roman" w:hAnsi="Times New Roman" w:cs="Times New Roman"/>
          <w:color w:val="000000"/>
          <w:sz w:val="24"/>
          <w:szCs w:val="24"/>
        </w:rPr>
        <w:t xml:space="preserve">(содержимое одного флакона)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два рaза в сутки в течение 28 дней, независимо от массы тела пациента. Интервал между ингаляциями препарата должен быть около 12 часов. После проведения 28-дневного курса лечения препаратом </w:t>
      </w:r>
      <w:r w:rsidR="00D242E9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</w:t>
      </w:r>
      <w:r w:rsidR="00D242E9">
        <w:rPr>
          <w:rFonts w:ascii="Times New Roman" w:hAnsi="Times New Roman" w:cs="Times New Roman"/>
          <w:color w:val="000000"/>
          <w:sz w:val="24"/>
          <w:szCs w:val="24"/>
        </w:rPr>
        <w:t xml:space="preserve">Фармасинтез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последующий перерыв в применении препарата должен составлять 28 дней. Следует строго соблюдать вышеуказанный режим лечения, чередуя 28-дневные курсы активной терапии с последующим</w:t>
      </w:r>
      <w:r w:rsidR="0060664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28-дневными перерывами (один цикл лечения: 28 дней лечения и 28 дней без лечения).</w:t>
      </w:r>
    </w:p>
    <w:p w14:paraId="542D1787" w14:textId="328DD617" w:rsidR="004E6841" w:rsidRPr="0026167D" w:rsidRDefault="004E6841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Терапия тобрамицином должна продолжаться циклами в течение того времени, когда по мнению врача пациент получает клиническую пользу от включения тобрамицина в стандартный режим лечения. При ухудшении легочной функции, необходимо рассмотреть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вопрос о дополнительной антибактериальной терапии активной в отношении 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="006066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eudomonas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aeruginosa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C3F5170" w14:textId="77777777" w:rsidR="0026167D" w:rsidRPr="00454736" w:rsidRDefault="00CD2BAB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Особые группы пациентов </w:t>
      </w:r>
    </w:p>
    <w:p w14:paraId="77AE9CDA" w14:textId="7DD66A30" w:rsidR="00606644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Пациенты старшей возрастной группы (</w:t>
      </w:r>
      <w:r w:rsidR="006066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≥</w:t>
      </w:r>
      <w:r w:rsidRPr="002616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65 лет)</w:t>
      </w:r>
    </w:p>
    <w:p w14:paraId="67145D58" w14:textId="24A65BAA" w:rsidR="00CD2BAB" w:rsidRPr="0026167D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следует применять с осторожностью у пациентов старшей возрастной группы, так как у них может быть снижена функция почек (см. раздел </w:t>
      </w:r>
      <w:r w:rsidR="004E6841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101B9EE" w14:textId="1D175304" w:rsidR="0026167D" w:rsidRPr="00454736" w:rsidRDefault="00CD2BAB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Пациенты с </w:t>
      </w:r>
      <w:r w:rsidR="00A60C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нарушением функции почек</w:t>
      </w: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3168699B" w14:textId="22D87428" w:rsidR="00CD2BAB" w:rsidRPr="0026167D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следует применять с осторожностью у пациентов с установленными или предполагаемыми нарушениями функции почек. В случае развития нефротоксического действия прием препарата </w:t>
      </w:r>
      <w:r w:rsidR="00D242E9" w:rsidRPr="0026167D">
        <w:rPr>
          <w:rFonts w:ascii="Times New Roman" w:hAnsi="Times New Roman" w:cs="Times New Roman"/>
          <w:color w:val="000000"/>
          <w:sz w:val="24"/>
          <w:szCs w:val="24"/>
        </w:rPr>
        <w:t>ТОБРАМИЦИН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2E9">
        <w:rPr>
          <w:rFonts w:ascii="Times New Roman" w:hAnsi="Times New Roman" w:cs="Times New Roman"/>
          <w:color w:val="000000"/>
          <w:sz w:val="24"/>
          <w:szCs w:val="24"/>
        </w:rPr>
        <w:t xml:space="preserve">Фармасинтез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следует прекратить до тех пор, пока сывороточная концентрация тобрамицина не станет ниже 2 мкг/мл (см. раздел </w:t>
      </w:r>
      <w:r w:rsidR="004E6841"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C46FBF8" w14:textId="64ECE2BE" w:rsidR="0026167D" w:rsidRPr="00454736" w:rsidRDefault="00CD2BAB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Пациенты с </w:t>
      </w:r>
      <w:r w:rsidR="00A60C1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нарушением функции печени</w:t>
      </w: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0DA82033" w14:textId="0555811D" w:rsidR="00CD2BAB" w:rsidRPr="0026167D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>Эффективность и безопасность применения тобрамицина у пациентов с нарушениями функции печени не изучались. Однако тобрамицин не метаболизируется ферментами печени, следовательно, изменения системной биодоступности препарата у пациентов с печеночной недостаточностью маловероятны.</w:t>
      </w:r>
    </w:p>
    <w:p w14:paraId="675C5D91" w14:textId="77777777" w:rsidR="0026167D" w:rsidRPr="00454736" w:rsidRDefault="00CD2BAB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Пациенты после трансплантации </w:t>
      </w:r>
    </w:p>
    <w:p w14:paraId="05E8038C" w14:textId="0A3D290C" w:rsidR="00CD2BAB" w:rsidRPr="0026167D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>Эффективность и безопасность применения тобрамицина у пациентов после трансплантации не изучались.</w:t>
      </w:r>
    </w:p>
    <w:p w14:paraId="54CD9781" w14:textId="77777777" w:rsidR="0026167D" w:rsidRPr="00454736" w:rsidRDefault="00CD2BAB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Масса тела </w:t>
      </w:r>
    </w:p>
    <w:p w14:paraId="30DCBC1F" w14:textId="3061FE36" w:rsidR="00CD2BAB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Доза препарата не зависит от массы тела. Все пациенты должны принимать ингаляции </w:t>
      </w:r>
      <w:r w:rsidR="00454736">
        <w:rPr>
          <w:rFonts w:ascii="Times New Roman" w:hAnsi="Times New Roman" w:cs="Times New Roman"/>
          <w:color w:val="000000"/>
          <w:sz w:val="24"/>
          <w:szCs w:val="24"/>
        </w:rPr>
        <w:t xml:space="preserve">содержимого флакона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препарата </w:t>
      </w:r>
      <w:r w:rsidR="004D2C55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</w:t>
      </w:r>
      <w:r w:rsidR="004D2C55">
        <w:rPr>
          <w:rFonts w:ascii="Times New Roman" w:hAnsi="Times New Roman" w:cs="Times New Roman"/>
          <w:color w:val="000000"/>
          <w:sz w:val="24"/>
          <w:szCs w:val="24"/>
        </w:rPr>
        <w:t>Фармасинтез</w:t>
      </w:r>
      <w:r w:rsidR="00B050DD">
        <w:rPr>
          <w:rFonts w:ascii="Times New Roman" w:hAnsi="Times New Roman" w:cs="Times New Roman"/>
          <w:color w:val="000000"/>
          <w:sz w:val="24"/>
          <w:szCs w:val="24"/>
        </w:rPr>
        <w:t xml:space="preserve"> (300 мг тобрамицина)</w:t>
      </w:r>
      <w:r w:rsidR="004D2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009">
        <w:rPr>
          <w:rFonts w:ascii="Times New Roman" w:hAnsi="Times New Roman" w:cs="Times New Roman"/>
          <w:color w:val="000000"/>
          <w:sz w:val="24"/>
          <w:szCs w:val="24"/>
        </w:rPr>
        <w:t>2 раза в сутки.</w:t>
      </w:r>
    </w:p>
    <w:p w14:paraId="05979A02" w14:textId="19CD3970" w:rsidR="004E6841" w:rsidRPr="00454736" w:rsidRDefault="004E6841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</w:t>
      </w:r>
    </w:p>
    <w:p w14:paraId="7B4E53F2" w14:textId="77777777" w:rsidR="00E73B30" w:rsidRDefault="007D654A" w:rsidP="0026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Безопасность и эффективность</w:t>
      </w:r>
      <w:r w:rsidR="00E7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B30" w:rsidRPr="00E73B30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Фармасинтез </w:t>
      </w:r>
      <w:r w:rsidR="00E73B30">
        <w:rPr>
          <w:rFonts w:ascii="Times New Roman" w:hAnsi="Times New Roman" w:cs="Times New Roman"/>
          <w:color w:val="000000"/>
          <w:sz w:val="24"/>
          <w:szCs w:val="24"/>
        </w:rPr>
        <w:t xml:space="preserve">у детей в возрасте от 0 до 6 лет не установлены.  Данные отсутствуют. </w:t>
      </w:r>
    </w:p>
    <w:bookmarkEnd w:id="1"/>
    <w:p w14:paraId="09A00F5C" w14:textId="2F2905EA" w:rsidR="00647CD9" w:rsidRPr="0026167D" w:rsidRDefault="00647CD9" w:rsidP="002616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67D">
        <w:rPr>
          <w:rFonts w:ascii="Times New Roman" w:hAnsi="Times New Roman" w:cs="Times New Roman"/>
          <w:sz w:val="24"/>
          <w:szCs w:val="24"/>
          <w:u w:val="single"/>
        </w:rPr>
        <w:t>Способ применения</w:t>
      </w:r>
    </w:p>
    <w:p w14:paraId="10CEAAD9" w14:textId="69E84039" w:rsidR="00742976" w:rsidRPr="0026167D" w:rsidRDefault="00E73B30" w:rsidP="0026167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Ингаляционно. </w:t>
      </w:r>
      <w:r w:rsidR="00742976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Содержимое </w:t>
      </w:r>
      <w:r w:rsidR="001D7414">
        <w:rPr>
          <w:rFonts w:ascii="Times New Roman" w:hAnsi="Times New Roman" w:cs="Times New Roman"/>
          <w:color w:val="000000"/>
          <w:sz w:val="24"/>
          <w:szCs w:val="24"/>
        </w:rPr>
        <w:t>одного флакона</w:t>
      </w:r>
      <w:r w:rsidR="00742976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однократно. </w:t>
      </w:r>
      <w:r w:rsidR="001D7414">
        <w:rPr>
          <w:rFonts w:ascii="Times New Roman" w:hAnsi="Times New Roman" w:cs="Times New Roman"/>
          <w:color w:val="000000"/>
          <w:sz w:val="24"/>
          <w:szCs w:val="24"/>
        </w:rPr>
        <w:t>Флакон</w:t>
      </w:r>
      <w:r w:rsidR="00742976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открывать непосредственно перед использованием. </w:t>
      </w:r>
    </w:p>
    <w:p w14:paraId="28064D07" w14:textId="77777777" w:rsidR="0026167D" w:rsidRPr="00454736" w:rsidRDefault="00CD2BAB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Максимальная переносимая суточная доза </w:t>
      </w:r>
    </w:p>
    <w:p w14:paraId="6E26B1B1" w14:textId="597271FF" w:rsidR="00CD2BAB" w:rsidRPr="0026167D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переносимая суточная доза </w:t>
      </w:r>
      <w:r w:rsidR="00A60C16">
        <w:rPr>
          <w:rFonts w:ascii="Times New Roman" w:hAnsi="Times New Roman" w:cs="Times New Roman"/>
          <w:color w:val="000000"/>
          <w:sz w:val="24"/>
          <w:szCs w:val="24"/>
        </w:rPr>
        <w:t>тобрамицина</w:t>
      </w:r>
      <w:r w:rsidR="004D2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до настоящего времени не установлена.</w:t>
      </w:r>
    </w:p>
    <w:p w14:paraId="2C0558D1" w14:textId="77777777" w:rsidR="0026167D" w:rsidRPr="00454736" w:rsidRDefault="00CD2BAB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473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Указания по правильному использованию </w:t>
      </w:r>
    </w:p>
    <w:p w14:paraId="1356DAB7" w14:textId="77777777" w:rsidR="00E73B30" w:rsidRDefault="00CD2BAB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Содержимое </w:t>
      </w:r>
      <w:r w:rsidR="001D7414">
        <w:rPr>
          <w:rFonts w:ascii="Times New Roman" w:hAnsi="Times New Roman" w:cs="Times New Roman"/>
          <w:color w:val="000000"/>
          <w:sz w:val="24"/>
          <w:szCs w:val="24"/>
        </w:rPr>
        <w:t>одного флакона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(300 мг), перелитое в небулайзер, вводится путем ингаляции в течение приблизительно 15 мин с помощью небулайзера для многократного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использования PARI LC PLUS, оснащенного компрессором PARI TURBO BOY (скорость доставки препарата 6,2 мг/мин, полная доставка препарата 92,8 мг, масс-медианный аэродинамический диаметр частиц аэрозоля: Dio 0,65 мкм, D50 3,15 мкм, D90 8,99 мкм) или небулайзера PARI LC SPRINT, оснащенного компрессором PARI BOY Sx (скорость доставки препарата 6,7 мг/мин, полная доставка препарата 99,8 мг, масс-медианный аэродинамический диаметр частиц аэрозоля: Dio 0,70 мкм, D50 3,36 мкм, D90 9,41 мкм). </w:t>
      </w:r>
    </w:p>
    <w:p w14:paraId="65984699" w14:textId="4F52EC68" w:rsidR="00E73B30" w:rsidRDefault="00E73B30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 использованием лекарственного препарата необходимо прочитать инструкцию производителя небулайзера и компрессора. </w:t>
      </w:r>
    </w:p>
    <w:p w14:paraId="17BFC6A2" w14:textId="1300EFFE" w:rsidR="0015125D" w:rsidRDefault="00E73B30" w:rsidP="002616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Пациент вдыхает препарат </w:t>
      </w:r>
      <w:bookmarkStart w:id="2" w:name="_Hlk116551361"/>
      <w:r w:rsidRPr="00E73B30">
        <w:rPr>
          <w:rFonts w:ascii="Times New Roman" w:hAnsi="Times New Roman" w:cs="Times New Roman"/>
          <w:color w:val="000000"/>
          <w:sz w:val="24"/>
          <w:szCs w:val="24"/>
        </w:rPr>
        <w:t>ТОБРАМИЦИН Фармасинтез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ингаляции через мундштук небулайзера в положении сидя или стоя. 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зажима 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 xml:space="preserve">на нос может помочь 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пациенту дышать через рот. </w:t>
      </w:r>
      <w:r w:rsidR="00A64FC7">
        <w:rPr>
          <w:rFonts w:ascii="Times New Roman" w:hAnsi="Times New Roman" w:cs="Times New Roman"/>
          <w:color w:val="000000"/>
          <w:sz w:val="24"/>
          <w:szCs w:val="24"/>
        </w:rPr>
        <w:t>При приеме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830D0" w:rsidRPr="0026167D">
        <w:rPr>
          <w:rFonts w:ascii="Times New Roman" w:hAnsi="Times New Roman" w:cs="Times New Roman"/>
          <w:color w:val="000000"/>
          <w:sz w:val="24"/>
          <w:szCs w:val="24"/>
        </w:rPr>
        <w:t>обрамицин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 xml:space="preserve">а важно, чтобы 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>пациент продолжа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>проведение физиотерапии органов грудной клетки. По мере необходимости могут применяться соответствующие бронходилататоры. Если</w:t>
      </w:r>
      <w:r w:rsidR="0015125D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>пациент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получаю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 xml:space="preserve">препаратов по терапии органов дыхания, рекомендуется применять их в следующем порядке: 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>бронходилататор, физиотерапия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грудной клетки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15125D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>лекарстве</w:t>
      </w:r>
      <w:r w:rsidR="0015125D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нные 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препараты, </w:t>
      </w:r>
      <w:r w:rsidR="0015125D">
        <w:rPr>
          <w:rFonts w:ascii="Times New Roman" w:hAnsi="Times New Roman" w:cs="Times New Roman"/>
          <w:color w:val="000000"/>
          <w:sz w:val="24"/>
          <w:szCs w:val="24"/>
        </w:rPr>
        <w:t xml:space="preserve">применяемые посредством ингаляций и </w:t>
      </w:r>
      <w:r w:rsidR="004D2C55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</w:t>
      </w:r>
      <w:r w:rsidR="004D2C55">
        <w:rPr>
          <w:rFonts w:ascii="Times New Roman" w:hAnsi="Times New Roman" w:cs="Times New Roman"/>
          <w:color w:val="000000"/>
          <w:sz w:val="24"/>
          <w:szCs w:val="24"/>
        </w:rPr>
        <w:t>Фармасинтез</w:t>
      </w:r>
      <w:r w:rsidR="00CD2BAB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48208B" w14:textId="77777777" w:rsidR="009E4E0F" w:rsidRPr="0026167D" w:rsidRDefault="009E4E0F" w:rsidP="0026167D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7D">
        <w:rPr>
          <w:rFonts w:ascii="Times New Roman" w:hAnsi="Times New Roman" w:cs="Times New Roman"/>
          <w:b/>
          <w:sz w:val="24"/>
          <w:szCs w:val="24"/>
        </w:rPr>
        <w:t>4.3. Противопоказания</w:t>
      </w:r>
    </w:p>
    <w:p w14:paraId="3AECE868" w14:textId="7EB92095" w:rsidR="006C693F" w:rsidRPr="0026167D" w:rsidRDefault="00711592" w:rsidP="00454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Гипер</w:t>
      </w:r>
      <w:r w:rsidR="006C693F" w:rsidRPr="0026167D">
        <w:rPr>
          <w:rFonts w:ascii="Times New Roman" w:hAnsi="Times New Roman" w:cs="Times New Roman"/>
          <w:color w:val="000000"/>
          <w:sz w:val="24"/>
          <w:szCs w:val="24"/>
        </w:rPr>
        <w:t>чувствительность к тобрамицину, другим аминогликозидам и</w:t>
      </w:r>
      <w:r w:rsidR="00420E0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6C693F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любому из вспомогательных веществ, перечисленных в разделе 6.1.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636ADF" w14:textId="4C74E11D" w:rsidR="00232168" w:rsidRPr="0026167D" w:rsidRDefault="009E4E0F" w:rsidP="0026167D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7D">
        <w:rPr>
          <w:rFonts w:ascii="Times New Roman" w:hAnsi="Times New Roman" w:cs="Times New Roman"/>
          <w:b/>
          <w:sz w:val="24"/>
          <w:szCs w:val="24"/>
        </w:rPr>
        <w:t>4.4. Особые указания и меры предосторожности при применении</w:t>
      </w:r>
    </w:p>
    <w:p w14:paraId="4542204C" w14:textId="77777777" w:rsidR="00711592" w:rsidRPr="00454736" w:rsidRDefault="00711592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Общие предупреждения</w:t>
      </w:r>
    </w:p>
    <w:p w14:paraId="0DFCEE39" w14:textId="77777777" w:rsidR="00420E0B" w:rsidRDefault="00711592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Тобрамицин следует применять с осторожностью у пациентов</w:t>
      </w:r>
      <w:r w:rsidR="00B5377A" w:rsidRPr="0045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77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B5377A" w:rsidRPr="0045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77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установленными или предполагаемыми нарушениями функции почек, слухового и/или вестибулярного аппарата, нарушениями нервно-мышечной передачи, а также с сильным активным кровохарканьем. </w:t>
      </w:r>
    </w:p>
    <w:p w14:paraId="1025B29D" w14:textId="1F23F59B" w:rsidR="00B5377A" w:rsidRDefault="00B5377A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 тщательно контролировать функцию почек и черепных нервов (восьмая пара черепно-мозговых нервов) у пациентов с установленными или предполагаемыми нарушениями функции почек, а также у тех пациентов, чья функция почек изначально была нормальной, но во время лечения у них появились признаки нарушения функции почек</w:t>
      </w:r>
      <w:r w:rsidR="00420E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E0B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 ухудшения функции почек,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функций вестибулярного препарата и/или снижение слуха требует отмены препарата или коррекции дозы.</w:t>
      </w:r>
    </w:p>
    <w:p w14:paraId="6542AEB2" w14:textId="3E187048" w:rsidR="00B5377A" w:rsidRDefault="00B5377A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Концентрацию тобрами</w:t>
      </w:r>
      <w:r w:rsidR="00420E0B">
        <w:rPr>
          <w:rFonts w:ascii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 сыворотке крови следует определять только в крови, взятой из вены, а не в крови, взятой из пальца. Это связано с тем, что было установлено, что попадание на кожу пальцев препарата при подготовке и проведении ингаляции с помощью небулайзера может привести к ложному </w:t>
      </w:r>
      <w:r w:rsidR="001A7C66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увеличению показателей при определении </w:t>
      </w:r>
      <w:r w:rsidR="001A7C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концентрации тобрамицина в крови, так как мытье рук перед проведением взятия крови не может полностью удалить попавший на пальцы тобрамицин.</w:t>
      </w:r>
    </w:p>
    <w:p w14:paraId="59FB8590" w14:textId="47058668" w:rsidR="001A7C66" w:rsidRPr="00454736" w:rsidRDefault="001A7C66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Бронхоспазм</w:t>
      </w:r>
    </w:p>
    <w:p w14:paraId="3A021CA6" w14:textId="7CB41CE5" w:rsidR="001A7C66" w:rsidRDefault="001A7C66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ингаляционном введении лекарственных препаратов может развиваться бронхоспазм, о возникновении которого сообщалось также и при небулайзерной ингаляции тобрамицина. Небулайзерная ингаляция первой дозы препарата </w:t>
      </w:r>
      <w:r w:rsidRPr="001A7C66">
        <w:rPr>
          <w:rFonts w:ascii="Times New Roman" w:hAnsi="Times New Roman" w:cs="Times New Roman"/>
          <w:color w:val="000000"/>
          <w:sz w:val="24"/>
          <w:szCs w:val="24"/>
        </w:rPr>
        <w:t>ТОБРАМИЦИН Фармасинтез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проводиться под контролем врача и с введением бронходилататора до ингаляции тобрамицина в том случае, если применение бронходилататора уже входило в схему лечения пациента. До и после небулайзерной ингаляции препарата </w:t>
      </w:r>
      <w:r w:rsidRPr="001A7C66">
        <w:rPr>
          <w:rFonts w:ascii="Times New Roman" w:hAnsi="Times New Roman" w:cs="Times New Roman"/>
          <w:color w:val="000000"/>
          <w:sz w:val="24"/>
          <w:szCs w:val="24"/>
        </w:rPr>
        <w:t>ТОБРАМИЦИН Фармасинтез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определять объем форсированного выдоха за первую секунду (ОФВ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Если развитие бронхоспазма после ингаляции тобрамицина наблюдается у пациентов, не получающих бронхолитическую терапию, то определение </w:t>
      </w:r>
      <w:r w:rsidRPr="001A7C66">
        <w:rPr>
          <w:rFonts w:ascii="Times New Roman" w:hAnsi="Times New Roman" w:cs="Times New Roman"/>
          <w:color w:val="000000"/>
          <w:sz w:val="24"/>
          <w:szCs w:val="24"/>
        </w:rPr>
        <w:t>ОФВ</w:t>
      </w:r>
      <w:r w:rsidRPr="001A7C6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и после ингаляции тобрамицина необходимо повторить с применением бронходилататора перед ингаляцией тобрамицина. Появление бронхоспазма на фоне применения бронходилататора может указывать на аллергическую реакцию. При подозрении на аллергическую реакцию применение препарата </w:t>
      </w:r>
      <w:r w:rsidRPr="001A7C66">
        <w:rPr>
          <w:rFonts w:ascii="Times New Roman" w:hAnsi="Times New Roman" w:cs="Times New Roman"/>
          <w:color w:val="000000"/>
          <w:sz w:val="24"/>
          <w:szCs w:val="24"/>
        </w:rPr>
        <w:t>ТОБРАМИЦИН Фармасинтез</w:t>
      </w:r>
      <w:r w:rsidR="00E14FD4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прекратить. Для купирования бронхоспазма следует проводить соответствующую общепринятую терапию.</w:t>
      </w:r>
    </w:p>
    <w:p w14:paraId="0C35102E" w14:textId="0C507564" w:rsidR="00E14FD4" w:rsidRPr="00454736" w:rsidRDefault="00E14FD4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Нервно-мышечные заболевания</w:t>
      </w:r>
    </w:p>
    <w:p w14:paraId="74000DA3" w14:textId="77777777" w:rsidR="00A74F22" w:rsidRDefault="00E14FD4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Тобрамицин следует применять с большой осторожностью у пациентов с нервно-мышечными заболеваниями, такими как паркинсонизм или другие состояния, характеризующиеся мышечной слабостью, включая тяжелую псевдопаралитическую миастению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myasthenia</w:t>
      </w:r>
      <w:r w:rsidRPr="0045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gravis</w:t>
      </w:r>
      <w:r w:rsidRPr="0045473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74F22">
        <w:rPr>
          <w:rFonts w:ascii="Times New Roman" w:hAnsi="Times New Roman" w:cs="Times New Roman"/>
          <w:color w:val="000000"/>
          <w:sz w:val="24"/>
          <w:szCs w:val="24"/>
        </w:rPr>
        <w:t>поскольку аминогликозиды могут усиливать мышечную слабость из-за потенциального курареподобного эффекта на нервно-мышечную передачу.</w:t>
      </w:r>
    </w:p>
    <w:p w14:paraId="14DB0F5F" w14:textId="77777777" w:rsidR="00A74F22" w:rsidRPr="00454736" w:rsidRDefault="00A74F22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Нефротоксичность</w:t>
      </w:r>
    </w:p>
    <w:p w14:paraId="05B42651" w14:textId="4192105A" w:rsidR="00E14FD4" w:rsidRDefault="00A74F22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Несмотря на то, что при парентеральном введении аминогликозидов возможно их нефротоксическое действие, во время проведения клинических исследований с тобрамицином доказательств его нефротоксичности получено не было. У пациентов с установленными или предполагаемыми нарушениями функции почек препарат следует применять с осторожностью под контролем концентрации тобрамицина в сыворотке крови, напр</w:t>
      </w:r>
      <w:r w:rsidR="00713A3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мер, определять концентрацию тобрамицина в сыворотке крови после ингаляции двух или трех доз, чтобы можно было при необходимости скорректировать дозу, а также с трех-четырех дневными интервалами во время лечения. В случае изменения функции почек необходимо чаще определять концентрации тобрамицина в сыворотке крови и корректировать либо дозу, либо интервалы между ингаляциями доз. Пациенты с тяжелой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почечной недостаточностью, т.е. с концентрацией креатинина в сыворотке крови </w:t>
      </w:r>
      <w:r w:rsidRPr="00454736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>
        <w:rPr>
          <w:rFonts w:ascii="Times New Roman" w:hAnsi="Times New Roman" w:cs="Times New Roman"/>
          <w:color w:val="000000"/>
          <w:sz w:val="24"/>
          <w:szCs w:val="24"/>
        </w:rPr>
        <w:t>2 мг/дл (176,8 мкмоль/л), в клинические исследования не включались.</w:t>
      </w:r>
    </w:p>
    <w:p w14:paraId="7B29428F" w14:textId="18945417" w:rsidR="00D60092" w:rsidRDefault="00D60092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Современная клиническая практика рекомендует проводить оценку исходной функции почек перед лечением. Кроме этого, следует периодически проводить повторную оценку функции почек, регулярно контролируя концентрации мочевины и креатинина в крови, по крайней мере, каждые 6 полных циклов терапии тобрамицином (180 дней лечения). Если есть доказательства нефротоксического действия, лечение тобрамицином следует прекратить до тех пор, пока минимальная сывороточная концентрация тобрамицина не станет ниже 2 мкг/мл. Затем терапию тобрамицином можно возобновить после консультации с врачом. Состояние пациентов, получающих одновременно парентеральную аминогликозидную терапию, должно строго контролироваться из-за риска кумулятивной токсичности.</w:t>
      </w:r>
    </w:p>
    <w:p w14:paraId="0D6AC136" w14:textId="0846E28F" w:rsidR="00D60092" w:rsidRDefault="00D60092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функции почек особенно важен для пациентов пожилого возраста, у которых может иметься снижение функции почек, что может не проявляться в результатах обычных скрининговых тестов, таких как определение концентрации мочевины или креатинина в сыворотке крови. </w:t>
      </w:r>
      <w:r w:rsidR="00D53E00">
        <w:rPr>
          <w:rFonts w:ascii="Times New Roman" w:hAnsi="Times New Roman" w:cs="Times New Roman"/>
          <w:color w:val="000000"/>
          <w:sz w:val="24"/>
          <w:szCs w:val="24"/>
        </w:rPr>
        <w:t>Более информативным может быть определение у пациентов этой возрастной категории клиренса креатинина.</w:t>
      </w:r>
    </w:p>
    <w:p w14:paraId="226E3762" w14:textId="4C640895" w:rsidR="00D53E00" w:rsidRDefault="00D53E00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 исследовать мочу на предмет увеличения экскреции белка, появления клеток и цилиндров. Следует периодически проводить определение концентрации креатинина в сыворотке крови или клиренса креатинина, что более предпочтительно, чем определение концентрации мочевины в крови.</w:t>
      </w:r>
    </w:p>
    <w:p w14:paraId="34AA130C" w14:textId="2CC0A76E" w:rsidR="00D53E00" w:rsidRPr="00454736" w:rsidRDefault="00D53E00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Ототоксичность</w:t>
      </w:r>
    </w:p>
    <w:p w14:paraId="75E3E958" w14:textId="3349AB6C" w:rsidR="00D53E00" w:rsidRDefault="00D53E00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проведения контролируемых клинических исследований, проведенных с тобрамицином, наблюдались умеренно выраженная гипоакузия и вертиго</w:t>
      </w:r>
      <w:r w:rsidR="009A189B">
        <w:rPr>
          <w:rFonts w:ascii="Times New Roman" w:hAnsi="Times New Roman" w:cs="Times New Roman"/>
          <w:color w:val="000000"/>
          <w:sz w:val="24"/>
          <w:szCs w:val="24"/>
        </w:rPr>
        <w:t>. В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клинических исследовани</w:t>
      </w:r>
      <w:r w:rsidR="003429C5"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токсического воздействия на слух, определяемого по жалобам пациентов на снижение слуха или с помощью аудиометрии, не наблюдалось.</w:t>
      </w:r>
    </w:p>
    <w:p w14:paraId="318BFAEB" w14:textId="1EE3BCB6" w:rsidR="00D53E00" w:rsidRDefault="00D53E00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открытых исследованиях и при пострегистрационном применении у нескольких пациентов, ранее длительно или одновременно получавших аминогликозиды внутривенно, развивалось снижение слуха.</w:t>
      </w:r>
    </w:p>
    <w:p w14:paraId="7A1BDC3A" w14:textId="7C054CA6" w:rsidR="00D53E00" w:rsidRDefault="00D53E00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Врач должен учитывать возможность того, что аминогликозиды могут вызывать вестибулярную и кохлеарную токсичность и должен оценивать функцию слуха на протяжении всего периода лечения препаратом </w:t>
      </w:r>
      <w:r w:rsidRPr="00D53E00">
        <w:rPr>
          <w:rFonts w:ascii="Times New Roman" w:hAnsi="Times New Roman" w:cs="Times New Roman"/>
          <w:color w:val="000000"/>
          <w:sz w:val="24"/>
          <w:szCs w:val="24"/>
        </w:rPr>
        <w:t>ТОБРАМИЦИН Фармасинтез</w:t>
      </w:r>
      <w:r w:rsidR="00FC796E">
        <w:rPr>
          <w:rFonts w:ascii="Times New Roman" w:hAnsi="Times New Roman" w:cs="Times New Roman"/>
          <w:color w:val="000000"/>
          <w:sz w:val="24"/>
          <w:szCs w:val="24"/>
        </w:rPr>
        <w:t xml:space="preserve">. У пациентов с повышенным риском ототоксического действия из-за предшествующей продолжительной системной терапии аминогликозидами может потребоваться проведение оценки слуха до начала терапии тобрамицином. Возникновение шума в ушах требует осторожности, </w:t>
      </w:r>
      <w:r w:rsidR="00FC79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поскольку оно представляет собой симптом ототоксического действия. Если пациент сообщает о шуме в ушах или снижении слуха во время терапии аминогликозидами, врач должен рассмотреть вопрос о необходимости проведения аудиометрии. Когда это возможно, рекомендуется, чтобы проводились периодические аудиометрические исследования пациентам, получающим постоянную терапию и, по этой причине, особенно пациентам с высоким риском ототоксического действия. Пациенты, получающие одновременно парентеральную терапию аминогликозидами, должны контролироваться, как пациенты повышенного риска, учитывая риск кумулятивной токсичности.</w:t>
      </w:r>
    </w:p>
    <w:p w14:paraId="725A765C" w14:textId="4319DAF3" w:rsidR="00FC796E" w:rsidRPr="00454736" w:rsidRDefault="00FC796E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Кровохарканье</w:t>
      </w:r>
    </w:p>
    <w:p w14:paraId="0EACAA64" w14:textId="77777777" w:rsidR="009A189B" w:rsidRDefault="00FC796E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Ингаляция растворов с помощью небулайзера может вызвать кашлевой рефлекс. Лечение препаратом </w:t>
      </w:r>
      <w:bookmarkStart w:id="3" w:name="_Hlk116556253"/>
      <w:r w:rsidRPr="00FC796E">
        <w:rPr>
          <w:rFonts w:ascii="Times New Roman" w:hAnsi="Times New Roman" w:cs="Times New Roman"/>
          <w:color w:val="000000"/>
          <w:sz w:val="24"/>
          <w:szCs w:val="24"/>
        </w:rPr>
        <w:t>ТОБРАМИЦИН Фармасинтез</w:t>
      </w:r>
      <w:r w:rsidRPr="00FC796E" w:rsidDel="00B53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пациентов с активным тяжелым кровохарканьем должно проводиться только в случае, если преимущества от лечения превышают потенциальные риски развития дополнительного </w:t>
      </w:r>
      <w:r w:rsidR="009A189B">
        <w:rPr>
          <w:rFonts w:ascii="Times New Roman" w:hAnsi="Times New Roman" w:cs="Times New Roman"/>
          <w:color w:val="000000"/>
          <w:sz w:val="24"/>
          <w:szCs w:val="24"/>
        </w:rPr>
        <w:t>кровотечения.</w:t>
      </w:r>
    </w:p>
    <w:p w14:paraId="5D4D9DE8" w14:textId="77777777" w:rsidR="009A189B" w:rsidRPr="00454736" w:rsidRDefault="009A189B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Микробная резистентность</w:t>
      </w:r>
    </w:p>
    <w:p w14:paraId="3FE01717" w14:textId="333019CE" w:rsidR="00D2073C" w:rsidRPr="00797ED5" w:rsidRDefault="009A189B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клинических исследованиях у некоторых пациентов, получавших лечение небулайзерными ингаляциями тобрамицина, развивалось повышение минимальной ингибирующей концентрации (МИК) аминогликозидов для тестируемых штаммов </w:t>
      </w:r>
      <w:bookmarkStart w:id="4" w:name="_Hlk116555808"/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aeruginosa</w:t>
      </w:r>
      <w:bookmarkEnd w:id="4"/>
      <w:r w:rsidRPr="004547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Имеется теоретический риск того, что у пациентов, получающих лечение небулайзерными ингаляциями тобрамицина, может развиться резистентность штаммов </w:t>
      </w:r>
      <w:r w:rsidRPr="000330E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0330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330E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aeruginosa</w:t>
      </w:r>
      <w:r w:rsidRPr="0026167D" w:rsidDel="00B53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внутривенно вводимому тоб</w:t>
      </w:r>
      <w:r w:rsidR="00AE2BD0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амицину (см. раздел 5.1). В клинических исследованиях не было данных о пациентах с инфекциями, вызываемыми 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Burkholderia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cepacia</w:t>
      </w:r>
      <w:r w:rsidRPr="004547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5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ACF804" w14:textId="22E1997C" w:rsidR="009E4E0F" w:rsidRPr="0026167D" w:rsidRDefault="009E4E0F" w:rsidP="0026167D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7D">
        <w:rPr>
          <w:rFonts w:ascii="Times New Roman" w:hAnsi="Times New Roman" w:cs="Times New Roman"/>
          <w:b/>
          <w:sz w:val="24"/>
          <w:szCs w:val="24"/>
        </w:rPr>
        <w:t>4.5. Взаимодействие с другими лекарственными препаратами и другие виды взаимодействия</w:t>
      </w:r>
    </w:p>
    <w:p w14:paraId="0B486658" w14:textId="575AC907" w:rsidR="006C693F" w:rsidRPr="0026167D" w:rsidRDefault="006C693F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В клинических исследованиях при совместном применении небулайзерных ингаляций тобрамицина с лечением дорназой альфа, муколитиками,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Pr="00AE2B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адреномиметиками, ингаляционными глюкокортикостероидами, другими пероральными и парентеральными</w:t>
      </w:r>
      <w:r w:rsidRPr="0026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антибиотиками, активными в отношении </w:t>
      </w:r>
      <w:r w:rsidRPr="002616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B960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616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aeruginosa,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профиль безопасности тобрамицина не отличался от такового в контрольной группе.</w:t>
      </w:r>
    </w:p>
    <w:p w14:paraId="738AFAA8" w14:textId="242B07BF" w:rsidR="006C693F" w:rsidRPr="0026167D" w:rsidRDefault="006C693F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Следует избегать одновременного и/или последовательного применения ингаляционного тобрамицина с препаратами, обладающими нефротоксичностью или ототоксичностью. </w:t>
      </w:r>
    </w:p>
    <w:p w14:paraId="35BF042E" w14:textId="5400FE95" w:rsidR="006C693F" w:rsidRPr="0026167D" w:rsidRDefault="006C693F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>Некоторые диурети</w:t>
      </w:r>
      <w:r w:rsidR="00B9609F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могут усиливать токсичность аминогликозидов путем изменения их концентраци</w:t>
      </w:r>
      <w:r w:rsidR="00B9609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в сыворотке крови и тканях. </w:t>
      </w:r>
      <w:r w:rsidR="00B9609F">
        <w:rPr>
          <w:rFonts w:ascii="Times New Roman" w:hAnsi="Times New Roman" w:cs="Times New Roman"/>
          <w:color w:val="000000"/>
          <w:sz w:val="24"/>
          <w:szCs w:val="24"/>
        </w:rPr>
        <w:t xml:space="preserve">Препарат </w:t>
      </w:r>
      <w:r w:rsidR="00B9609F" w:rsidRPr="00B9609F">
        <w:rPr>
          <w:rFonts w:ascii="Times New Roman" w:hAnsi="Times New Roman" w:cs="Times New Roman"/>
          <w:color w:val="000000"/>
          <w:sz w:val="24"/>
          <w:szCs w:val="24"/>
        </w:rPr>
        <w:t>ТОБРАМИЦИН Фармасинтез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не следует применять одновременно с </w:t>
      </w:r>
      <w:r w:rsidR="00AE2BD0">
        <w:rPr>
          <w:rFonts w:ascii="Times New Roman" w:hAnsi="Times New Roman" w:cs="Times New Roman"/>
          <w:color w:val="000000"/>
          <w:sz w:val="24"/>
          <w:szCs w:val="24"/>
        </w:rPr>
        <w:t xml:space="preserve">фуросемидом,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этакриновой кислотой</w:t>
      </w:r>
      <w:r w:rsidR="00AE2BD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с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внутривенным введением мочевины </w:t>
      </w:r>
      <w:r w:rsidR="00E74899">
        <w:rPr>
          <w:rFonts w:ascii="Times New Roman" w:hAnsi="Times New Roman" w:cs="Times New Roman"/>
          <w:color w:val="000000"/>
          <w:sz w:val="24"/>
          <w:szCs w:val="24"/>
        </w:rPr>
        <w:t xml:space="preserve">или внутривенным введением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9609F">
        <w:rPr>
          <w:rFonts w:ascii="Times New Roman" w:hAnsi="Times New Roman" w:cs="Times New Roman"/>
          <w:color w:val="000000"/>
          <w:sz w:val="24"/>
          <w:szCs w:val="24"/>
        </w:rPr>
        <w:t xml:space="preserve">пероральным приемом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маннитола.</w:t>
      </w:r>
    </w:p>
    <w:p w14:paraId="5EC5C674" w14:textId="22A462B0" w:rsidR="006C693F" w:rsidRPr="0026167D" w:rsidRDefault="006C693F" w:rsidP="00797ED5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ниже препараты также могут увеличивать потенциальную токсичность вводимых парентерально аминогликозидов: амфотерицин В, цефалотин, циклоспорин, такролимус, полимиксины (возможно усиление нефротоксического </w:t>
      </w:r>
      <w:r w:rsidR="00B9609F">
        <w:rPr>
          <w:rFonts w:ascii="Times New Roman" w:hAnsi="Times New Roman" w:cs="Times New Roman"/>
          <w:color w:val="000000"/>
          <w:sz w:val="24"/>
          <w:szCs w:val="24"/>
        </w:rPr>
        <w:t>эффекта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), соединения платины (возможно усиление нефротоксич</w:t>
      </w:r>
      <w:r w:rsidR="00AE2BD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ого и ототоксич</w:t>
      </w:r>
      <w:r w:rsidR="00AE2BD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ого действия), а также антихолинэстеразные препараты и ботулотоксин (воздействие на нервно-мышечную </w:t>
      </w:r>
      <w:r w:rsidR="00B9609F">
        <w:rPr>
          <w:rFonts w:ascii="Times New Roman" w:hAnsi="Times New Roman" w:cs="Times New Roman"/>
          <w:color w:val="000000"/>
          <w:sz w:val="24"/>
          <w:szCs w:val="24"/>
        </w:rPr>
        <w:t>передач</w:t>
      </w:r>
      <w:r w:rsidR="00B9609F" w:rsidRPr="0026167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146693B" w14:textId="645B2EC6" w:rsidR="009E4E0F" w:rsidRPr="0026167D" w:rsidRDefault="009E4E0F" w:rsidP="0026167D">
      <w:pPr>
        <w:tabs>
          <w:tab w:val="left" w:pos="61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167D">
        <w:rPr>
          <w:rFonts w:ascii="Times New Roman" w:hAnsi="Times New Roman" w:cs="Times New Roman"/>
          <w:b/>
          <w:sz w:val="24"/>
          <w:szCs w:val="24"/>
        </w:rPr>
        <w:t>4.6. Фертильность, беременность и лактация</w:t>
      </w:r>
    </w:p>
    <w:p w14:paraId="060E8FD9" w14:textId="77777777" w:rsidR="00EC45F1" w:rsidRPr="00454736" w:rsidRDefault="00EC45F1" w:rsidP="0026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Беременность</w:t>
      </w:r>
    </w:p>
    <w:p w14:paraId="77B133B2" w14:textId="0FB34A39" w:rsidR="00EC45F1" w:rsidRPr="0026167D" w:rsidRDefault="00EC45F1" w:rsidP="00797E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Отсутствуют достаточные данные по применению ингаляций тобрамицина у беременных женщин. Исследования, проведенные на животных с применением ингаляций тобрамицина, не выявили у него тератогенного действия. Однако при достижении высоких концентраций аминогликозидов в крови беременных женщин возможно неблагоприятное воздействие на плод (например, развитие врожденной глухоты). Если препарат </w:t>
      </w:r>
      <w:r w:rsidR="00F36C87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</w:t>
      </w:r>
      <w:r w:rsidR="00F36C87">
        <w:rPr>
          <w:rFonts w:ascii="Times New Roman" w:hAnsi="Times New Roman" w:cs="Times New Roman"/>
          <w:color w:val="000000"/>
          <w:sz w:val="24"/>
          <w:szCs w:val="24"/>
        </w:rPr>
        <w:t xml:space="preserve">Фармасинтез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во время беременности, или во время лечения препаратом </w:t>
      </w:r>
      <w:r w:rsidR="00F36C87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</w:t>
      </w:r>
      <w:r w:rsidR="00F36C87">
        <w:rPr>
          <w:rFonts w:ascii="Times New Roman" w:hAnsi="Times New Roman" w:cs="Times New Roman"/>
          <w:color w:val="000000"/>
          <w:sz w:val="24"/>
          <w:szCs w:val="24"/>
        </w:rPr>
        <w:t xml:space="preserve">Фармасинтез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у пациентки наступает беременность, пациентка должна быть проинформирована о существовании потенциального риска для плода. Применять препарат при беременности следует только в тех случаях, когда польза для матери превышает потенциальный риск для плода.</w:t>
      </w:r>
    </w:p>
    <w:p w14:paraId="6FEECA3E" w14:textId="0173C8F0" w:rsidR="00EC45F1" w:rsidRPr="00454736" w:rsidRDefault="00B9609F" w:rsidP="0026167D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Лактация</w:t>
      </w:r>
    </w:p>
    <w:p w14:paraId="7A36F724" w14:textId="6502D328" w:rsidR="00EC45F1" w:rsidRPr="0026167D" w:rsidRDefault="00EC45F1" w:rsidP="0026167D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Находящийся в системном кровотоке тобрамицин при его парентеральном введении экскретируется в грудное молоко. Неизвестно, приводит ли ингаляционное применение тобрамицина к созданию концентраций тобрамицина в крови, достаточных для того, чтобы он определялся в грудном молоке. Однако из-за потенциального риска развития ототоксического и нефротоксического действия тобрамицина у грудных детей, следует принять решение или прекратить грудное вскармливание, или прекратить лечение препаратом </w:t>
      </w:r>
      <w:r w:rsidR="00F36C87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</w:t>
      </w:r>
      <w:r w:rsidR="00F36C87">
        <w:rPr>
          <w:rFonts w:ascii="Times New Roman" w:hAnsi="Times New Roman" w:cs="Times New Roman"/>
          <w:color w:val="000000"/>
          <w:sz w:val="24"/>
          <w:szCs w:val="24"/>
        </w:rPr>
        <w:t>Фармасинтез</w:t>
      </w:r>
      <w:r w:rsidR="00B830D0" w:rsidRPr="002616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0C389D" w14:textId="5CB0804D" w:rsidR="00EE243A" w:rsidRPr="0026167D" w:rsidRDefault="00EE243A" w:rsidP="0026167D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b/>
          <w:color w:val="000000"/>
          <w:sz w:val="24"/>
          <w:szCs w:val="24"/>
        </w:rPr>
        <w:t>4.7. Влияние на способность управлять транспортными средствами и работать с механизмами</w:t>
      </w:r>
    </w:p>
    <w:p w14:paraId="5253447B" w14:textId="71D6BCF4" w:rsidR="00720321" w:rsidRPr="0026167D" w:rsidRDefault="00720321" w:rsidP="0026167D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Не проводилось исследований по влиянию препарата на способность управлять автотранспортом и работать с механизмами. На основании данных о наблюдавшихся нежелательных лекарственных реакциях маловероятно, что тобрамицин может повлиять на способность управлять автотранспортом и работать с механизмами. Тем не менее в связи с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возможностью возникновения головокружения и/или вертиго, сонливости при управлении автотранспортом или работе с механизмами следует соблюдать осторожность.</w:t>
      </w:r>
    </w:p>
    <w:p w14:paraId="46890C73" w14:textId="4C040C28" w:rsidR="0098377B" w:rsidRPr="0026167D" w:rsidRDefault="009B136F" w:rsidP="0026167D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7D">
        <w:rPr>
          <w:rFonts w:ascii="Times New Roman" w:hAnsi="Times New Roman" w:cs="Times New Roman"/>
          <w:b/>
          <w:sz w:val="24"/>
          <w:szCs w:val="24"/>
        </w:rPr>
        <w:t>4.8. Нежелательные реакции</w:t>
      </w:r>
    </w:p>
    <w:p w14:paraId="15A50877" w14:textId="77777777" w:rsidR="00B87F26" w:rsidRPr="00454736" w:rsidRDefault="00B87F26" w:rsidP="0026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Резюме профиля безопасности</w:t>
      </w:r>
    </w:p>
    <w:p w14:paraId="5C0AEE1A" w14:textId="2B229919" w:rsidR="004A70F2" w:rsidRDefault="00B87F26" w:rsidP="0026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клинических исследованиях, проведенных с тобрамицином, наиболее часто встречающимися нежелательными реакциями были нежелательные реакции со стороны органов дыхания (кашель и дисфония). В других контролируемых клинических исследованиях дисфония и шум в ушах были единственными нежелательными эффектами, наблюдавшимися у достоверно большего </w:t>
      </w:r>
      <w:r w:rsidR="00872751">
        <w:rPr>
          <w:rFonts w:ascii="Times New Roman" w:hAnsi="Times New Roman" w:cs="Times New Roman"/>
          <w:color w:val="000000"/>
          <w:sz w:val="24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пациентов, получавших лечение тобрамицином (13</w:t>
      </w:r>
      <w:r w:rsidR="0087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 в группе тобрамицина против 7</w:t>
      </w:r>
      <w:r w:rsidR="0087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% в контрольной группе) и (13</w:t>
      </w:r>
      <w:r w:rsidR="0087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в группе </w:t>
      </w:r>
      <w:r w:rsidRPr="00B87F26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тобрамицина против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7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F26">
        <w:rPr>
          <w:rFonts w:ascii="Times New Roman" w:hAnsi="Times New Roman" w:cs="Times New Roman"/>
          <w:color w:val="000000"/>
          <w:sz w:val="24"/>
          <w:szCs w:val="24"/>
        </w:rPr>
        <w:t>% в контрольной группе)</w:t>
      </w:r>
      <w:r w:rsidR="004A70F2">
        <w:rPr>
          <w:rFonts w:ascii="Times New Roman" w:hAnsi="Times New Roman" w:cs="Times New Roman"/>
          <w:color w:val="000000"/>
          <w:sz w:val="24"/>
          <w:szCs w:val="24"/>
        </w:rPr>
        <w:t>, соответственно. Эти эпизоды шума в ушах были преходящими, разрешались без прекращения терапии тобрамицин</w:t>
      </w:r>
      <w:r w:rsidR="0087275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A70F2">
        <w:rPr>
          <w:rFonts w:ascii="Times New Roman" w:hAnsi="Times New Roman" w:cs="Times New Roman"/>
          <w:color w:val="000000"/>
          <w:sz w:val="24"/>
          <w:szCs w:val="24"/>
        </w:rPr>
        <w:t xml:space="preserve"> и не ассоциировались с постоянным снижением слуха, определяемым на аудиограмме. Риск возникновения шума в ушах не увеличивался при повторных циклах лечения тобра</w:t>
      </w:r>
      <w:r w:rsidR="00872751">
        <w:rPr>
          <w:rFonts w:ascii="Times New Roman" w:hAnsi="Times New Roman" w:cs="Times New Roman"/>
          <w:color w:val="000000"/>
          <w:sz w:val="24"/>
          <w:szCs w:val="24"/>
        </w:rPr>
        <w:t>мицином</w:t>
      </w:r>
      <w:r w:rsidR="004A70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7E253C" w14:textId="77777777" w:rsidR="004A70F2" w:rsidRDefault="004A70F2" w:rsidP="0026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открытом исследовании и при пострегистрационном применении у нескольких пациентов с анамнезом предшествующего длительного применения или одновременного внутривенного введения аминогликозидов наблюдалось снижение слуха (см. раздел 4.4). Парентеральное введение аминогликозидов ассоциировалось с гиперчувствительностью, ототоксичностью и нефротоксичностью (см. раздел 4.4). </w:t>
      </w:r>
    </w:p>
    <w:p w14:paraId="049BAC0F" w14:textId="77777777" w:rsidR="004A70F2" w:rsidRPr="00454736" w:rsidRDefault="004A70F2" w:rsidP="0026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color w:val="000000"/>
          <w:sz w:val="24"/>
          <w:szCs w:val="24"/>
          <w:u w:val="single"/>
        </w:rPr>
        <w:t>Табличное резюме нежелательных реакций</w:t>
      </w:r>
    </w:p>
    <w:p w14:paraId="392A00B4" w14:textId="2721670F" w:rsidR="0098377B" w:rsidRPr="0026167D" w:rsidRDefault="005E53F1" w:rsidP="00261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>Нежелательные реакции были сгруппированы по системно-органным классам в соответствии с классификацией медицинского словаря по нормативно-правовой деятельности (MedDRA) и классифицированы по частоте возникновения следующим образом: часто: (</w:t>
      </w:r>
      <w:r w:rsidR="00E74899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1/100 и </w:t>
      </w:r>
      <w:r w:rsidRPr="0026167D">
        <w:rPr>
          <w:rFonts w:ascii="Times New Roman" w:hAnsi="Times New Roman" w:cs="Times New Roman"/>
          <w:color w:val="4B4746"/>
          <w:sz w:val="24"/>
          <w:szCs w:val="24"/>
        </w:rPr>
        <w:t xml:space="preserve">&lt;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1/10); нечасто (</w:t>
      </w:r>
      <w:r w:rsidR="00E74899">
        <w:rPr>
          <w:rFonts w:ascii="Times New Roman" w:hAnsi="Times New Roman" w:cs="Times New Roman"/>
          <w:color w:val="000000"/>
          <w:sz w:val="24"/>
          <w:szCs w:val="24"/>
        </w:rPr>
        <w:t>≥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 1/1000 и </w:t>
      </w:r>
      <w:r w:rsidRPr="0026167D">
        <w:rPr>
          <w:rFonts w:ascii="Times New Roman" w:hAnsi="Times New Roman" w:cs="Times New Roman"/>
          <w:color w:val="4B4746"/>
          <w:sz w:val="24"/>
          <w:szCs w:val="24"/>
        </w:rPr>
        <w:t xml:space="preserve">&lt;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1/100); редко </w:t>
      </w:r>
      <w:r w:rsidRPr="0026167D">
        <w:rPr>
          <w:rFonts w:ascii="Times New Roman" w:hAnsi="Times New Roman" w:cs="Times New Roman"/>
          <w:color w:val="4B4746"/>
          <w:sz w:val="24"/>
          <w:szCs w:val="24"/>
        </w:rPr>
        <w:t>(</w:t>
      </w:r>
      <w:r w:rsidR="00E74899">
        <w:rPr>
          <w:rFonts w:ascii="Times New Roman" w:hAnsi="Times New Roman" w:cs="Times New Roman"/>
          <w:color w:val="4B4746"/>
          <w:sz w:val="24"/>
          <w:szCs w:val="24"/>
        </w:rPr>
        <w:t>≥</w:t>
      </w:r>
      <w:r w:rsidRPr="0026167D">
        <w:rPr>
          <w:rFonts w:ascii="Times New Roman" w:hAnsi="Times New Roman" w:cs="Times New Roman"/>
          <w:color w:val="4B4746"/>
          <w:sz w:val="24"/>
          <w:szCs w:val="24"/>
        </w:rPr>
        <w:t xml:space="preserve">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1/10000 и </w:t>
      </w:r>
      <w:r w:rsidRPr="0026167D">
        <w:rPr>
          <w:rFonts w:ascii="Times New Roman" w:hAnsi="Times New Roman" w:cs="Times New Roman"/>
          <w:color w:val="4B4746"/>
          <w:sz w:val="24"/>
          <w:szCs w:val="24"/>
        </w:rPr>
        <w:t xml:space="preserve">&lt; 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1/1000); очень редко </w:t>
      </w:r>
      <w:r w:rsidRPr="0026167D">
        <w:rPr>
          <w:rFonts w:ascii="Times New Roman" w:hAnsi="Times New Roman" w:cs="Times New Roman"/>
          <w:color w:val="4B4746"/>
          <w:sz w:val="24"/>
          <w:szCs w:val="24"/>
        </w:rPr>
        <w:t>(&lt;</w:t>
      </w:r>
      <w:r w:rsidRPr="0026167D">
        <w:rPr>
          <w:rFonts w:ascii="Times New Roman" w:hAnsi="Times New Roman" w:cs="Times New Roman"/>
          <w:color w:val="000000"/>
          <w:sz w:val="24"/>
          <w:szCs w:val="24"/>
        </w:rPr>
        <w:t>1/10000), частота неизвестна (невозможно по имеющимся данным определить частоту встречаемости нежелательной реакции).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3F1" w:rsidRPr="0026167D" w14:paraId="6841FC44" w14:textId="77777777" w:rsidTr="005E53F1">
        <w:tc>
          <w:tcPr>
            <w:tcW w:w="3114" w:type="dxa"/>
          </w:tcPr>
          <w:p w14:paraId="3C767153" w14:textId="7420F394" w:rsidR="005E53F1" w:rsidRPr="0026167D" w:rsidRDefault="005E53F1" w:rsidP="0026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Системно-органный класс</w:t>
            </w:r>
          </w:p>
        </w:tc>
        <w:tc>
          <w:tcPr>
            <w:tcW w:w="3115" w:type="dxa"/>
          </w:tcPr>
          <w:p w14:paraId="26E64C0E" w14:textId="442B21FC" w:rsidR="005E53F1" w:rsidRPr="0026167D" w:rsidRDefault="005E53F1" w:rsidP="0026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Нежелательная реакция</w:t>
            </w:r>
          </w:p>
        </w:tc>
        <w:tc>
          <w:tcPr>
            <w:tcW w:w="3115" w:type="dxa"/>
          </w:tcPr>
          <w:p w14:paraId="6C0072D3" w14:textId="49FEB5D0" w:rsidR="005E53F1" w:rsidRPr="0026167D" w:rsidRDefault="005E53F1" w:rsidP="0026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Частота</w:t>
            </w:r>
          </w:p>
        </w:tc>
      </w:tr>
      <w:tr w:rsidR="005E53F1" w:rsidRPr="0026167D" w14:paraId="0A6CA0C8" w14:textId="77777777" w:rsidTr="005E53F1">
        <w:tc>
          <w:tcPr>
            <w:tcW w:w="3114" w:type="dxa"/>
          </w:tcPr>
          <w:p w14:paraId="4677A108" w14:textId="63796DBE" w:rsidR="005E53F1" w:rsidRPr="00454736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Инфекци</w:t>
            </w:r>
            <w:r w:rsidR="00E023A3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E023A3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инва</w:t>
            </w:r>
            <w:r w:rsidR="00026444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E023A3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ии</w:t>
            </w:r>
          </w:p>
        </w:tc>
        <w:tc>
          <w:tcPr>
            <w:tcW w:w="3115" w:type="dxa"/>
          </w:tcPr>
          <w:p w14:paraId="7669920F" w14:textId="5E63C55C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Грибковые инфекции, канди</w:t>
            </w:r>
            <w:r w:rsidR="00026444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оз полости рта</w:t>
            </w:r>
          </w:p>
        </w:tc>
        <w:tc>
          <w:tcPr>
            <w:tcW w:w="3115" w:type="dxa"/>
          </w:tcPr>
          <w:p w14:paraId="4B1547B4" w14:textId="7BF78372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Нечасто</w:t>
            </w:r>
          </w:p>
        </w:tc>
      </w:tr>
      <w:tr w:rsidR="005E53F1" w:rsidRPr="0026167D" w14:paraId="24E7D46A" w14:textId="77777777" w:rsidTr="005E53F1">
        <w:tc>
          <w:tcPr>
            <w:tcW w:w="3114" w:type="dxa"/>
          </w:tcPr>
          <w:p w14:paraId="0460CAB6" w14:textId="0EAA39B2" w:rsidR="005E53F1" w:rsidRPr="00454736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стороны нервной системы</w:t>
            </w:r>
          </w:p>
        </w:tc>
        <w:tc>
          <w:tcPr>
            <w:tcW w:w="3115" w:type="dxa"/>
          </w:tcPr>
          <w:p w14:paraId="104D687C" w14:textId="4BFCDCAE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Головная боль</w:t>
            </w:r>
          </w:p>
        </w:tc>
        <w:tc>
          <w:tcPr>
            <w:tcW w:w="3115" w:type="dxa"/>
          </w:tcPr>
          <w:p w14:paraId="04AE11A7" w14:textId="2C812313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Нечасто</w:t>
            </w:r>
          </w:p>
        </w:tc>
      </w:tr>
      <w:tr w:rsidR="005E53F1" w:rsidRPr="0026167D" w14:paraId="05B87488" w14:textId="77777777" w:rsidTr="005E53F1">
        <w:tc>
          <w:tcPr>
            <w:tcW w:w="3114" w:type="dxa"/>
          </w:tcPr>
          <w:p w14:paraId="6CCCA871" w14:textId="31D284ED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стороны органа слуха и лабиринт</w:t>
            </w:r>
            <w:r w:rsidR="00E023A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14:paraId="0266F143" w14:textId="744254DB" w:rsidR="005E53F1" w:rsidRPr="0026167D" w:rsidRDefault="005E53F1" w:rsidP="0002644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Вертиго, гипоакузия (снижение слуха), </w:t>
            </w: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нейросенсорная тугоухость (см.</w:t>
            </w:r>
            <w:r w:rsidR="00026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 </w:t>
            </w:r>
            <w:r w:rsidR="00026444">
              <w:rPr>
                <w:rFonts w:ascii="Times New Roman" w:hAnsi="Times New Roman" w:cs="Times New Roman"/>
                <w:iCs/>
                <w:sz w:val="24"/>
                <w:szCs w:val="24"/>
              </w:rPr>
              <w:t>4.4</w:t>
            </w: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424254B5" w14:textId="69624CD9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Нечасто</w:t>
            </w:r>
          </w:p>
        </w:tc>
      </w:tr>
      <w:tr w:rsidR="005E53F1" w:rsidRPr="0026167D" w14:paraId="17F96265" w14:textId="77777777" w:rsidTr="005E53F1">
        <w:tc>
          <w:tcPr>
            <w:tcW w:w="3114" w:type="dxa"/>
            <w:vMerge w:val="restart"/>
          </w:tcPr>
          <w:p w14:paraId="105B488C" w14:textId="6A916A82" w:rsidR="005E53F1" w:rsidRPr="00454736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стороны дыхательной системы, органов грудной клетки и средостения</w:t>
            </w:r>
          </w:p>
        </w:tc>
        <w:tc>
          <w:tcPr>
            <w:tcW w:w="3115" w:type="dxa"/>
          </w:tcPr>
          <w:p w14:paraId="18FACCBF" w14:textId="7C7DF017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Кашель, дисфония</w:t>
            </w:r>
          </w:p>
        </w:tc>
        <w:tc>
          <w:tcPr>
            <w:tcW w:w="3115" w:type="dxa"/>
          </w:tcPr>
          <w:p w14:paraId="688D8377" w14:textId="24566386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Часто</w:t>
            </w:r>
          </w:p>
        </w:tc>
      </w:tr>
      <w:tr w:rsidR="005E53F1" w:rsidRPr="0026167D" w14:paraId="42C5C2E0" w14:textId="77777777" w:rsidTr="005E53F1">
        <w:tc>
          <w:tcPr>
            <w:tcW w:w="3114" w:type="dxa"/>
            <w:vMerge/>
          </w:tcPr>
          <w:p w14:paraId="55408153" w14:textId="77777777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AE35AE" w14:textId="13085F7F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Уменьшение объема форсированного выдоха, диспноэ (одышка), хрипы при дыхании, кровохарканье, боли в ротоглотке, продуктивный кашель (кашель с мокротой)</w:t>
            </w:r>
          </w:p>
        </w:tc>
        <w:tc>
          <w:tcPr>
            <w:tcW w:w="3115" w:type="dxa"/>
          </w:tcPr>
          <w:p w14:paraId="044E169A" w14:textId="5364217F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Нечасто</w:t>
            </w:r>
          </w:p>
        </w:tc>
      </w:tr>
      <w:tr w:rsidR="005E53F1" w:rsidRPr="0026167D" w14:paraId="585C5553" w14:textId="77777777" w:rsidTr="005E53F1">
        <w:tc>
          <w:tcPr>
            <w:tcW w:w="3114" w:type="dxa"/>
          </w:tcPr>
          <w:p w14:paraId="37D1D64E" w14:textId="34EF6D11" w:rsidR="005E53F1" w:rsidRPr="00454736" w:rsidRDefault="00E023A3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="005E53F1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елудочно-кишечн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="005E53F1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</w:t>
            </w:r>
          </w:p>
        </w:tc>
        <w:tc>
          <w:tcPr>
            <w:tcW w:w="3115" w:type="dxa"/>
          </w:tcPr>
          <w:p w14:paraId="08173A64" w14:textId="01B25F05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Гиперсекреция слюны (повышенное слюноотделение), глоссит, боли в верхних отделах живота, тошнота</w:t>
            </w:r>
          </w:p>
        </w:tc>
        <w:tc>
          <w:tcPr>
            <w:tcW w:w="3115" w:type="dxa"/>
          </w:tcPr>
          <w:p w14:paraId="7E27CFD0" w14:textId="4896E5B3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Нечасто</w:t>
            </w:r>
          </w:p>
        </w:tc>
      </w:tr>
      <w:tr w:rsidR="005E53F1" w:rsidRPr="0026167D" w14:paraId="4880D86C" w14:textId="77777777" w:rsidTr="005E53F1">
        <w:tc>
          <w:tcPr>
            <w:tcW w:w="3114" w:type="dxa"/>
          </w:tcPr>
          <w:p w14:paraId="6942273E" w14:textId="45ECAE67" w:rsidR="005E53F1" w:rsidRPr="00454736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стороны кожи и подкожных тканей</w:t>
            </w:r>
          </w:p>
        </w:tc>
        <w:tc>
          <w:tcPr>
            <w:tcW w:w="3115" w:type="dxa"/>
          </w:tcPr>
          <w:p w14:paraId="29E86A6A" w14:textId="5BDBD66A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Сыпь</w:t>
            </w:r>
          </w:p>
        </w:tc>
        <w:tc>
          <w:tcPr>
            <w:tcW w:w="3115" w:type="dxa"/>
          </w:tcPr>
          <w:p w14:paraId="544725C5" w14:textId="02454D6A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Нечасто</w:t>
            </w:r>
          </w:p>
        </w:tc>
      </w:tr>
      <w:tr w:rsidR="005E53F1" w:rsidRPr="0026167D" w14:paraId="6B925029" w14:textId="77777777" w:rsidTr="005E53F1">
        <w:tc>
          <w:tcPr>
            <w:tcW w:w="3114" w:type="dxa"/>
          </w:tcPr>
          <w:p w14:paraId="11FB899E" w14:textId="5EEE91BF" w:rsidR="005E53F1" w:rsidRPr="00454736" w:rsidRDefault="005E53F1" w:rsidP="000264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Общие </w:t>
            </w:r>
            <w:r w:rsidR="00026444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</w:t>
            </w:r>
            <w:r w:rsidR="00026444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E023A3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реакции 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в месте введения</w:t>
            </w:r>
          </w:p>
        </w:tc>
        <w:tc>
          <w:tcPr>
            <w:tcW w:w="3115" w:type="dxa"/>
          </w:tcPr>
          <w:p w14:paraId="79DB38D4" w14:textId="422C15C3" w:rsidR="005E53F1" w:rsidRPr="0026167D" w:rsidRDefault="005E53F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Астения, чувство дискомфорта в грудной клетке, сухость слизистых</w:t>
            </w:r>
            <w:r w:rsidR="007D142F"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оболочек</w:t>
            </w:r>
          </w:p>
        </w:tc>
        <w:tc>
          <w:tcPr>
            <w:tcW w:w="3115" w:type="dxa"/>
          </w:tcPr>
          <w:p w14:paraId="6A201353" w14:textId="38A5E60C" w:rsidR="005E53F1" w:rsidRPr="0026167D" w:rsidRDefault="007D142F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Нечасто</w:t>
            </w:r>
          </w:p>
        </w:tc>
      </w:tr>
      <w:tr w:rsidR="005E53F1" w:rsidRPr="0026167D" w14:paraId="550F4D7F" w14:textId="77777777" w:rsidTr="005E53F1">
        <w:tc>
          <w:tcPr>
            <w:tcW w:w="3114" w:type="dxa"/>
          </w:tcPr>
          <w:p w14:paraId="671A1C25" w14:textId="078847EF" w:rsidR="005E53F1" w:rsidRPr="00454736" w:rsidRDefault="007D142F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инструментальные данные</w:t>
            </w:r>
          </w:p>
        </w:tc>
        <w:tc>
          <w:tcPr>
            <w:tcW w:w="3115" w:type="dxa"/>
          </w:tcPr>
          <w:p w14:paraId="6FB69CF7" w14:textId="34A5DECC" w:rsidR="005E53F1" w:rsidRPr="0026167D" w:rsidRDefault="007D142F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активности трансаминаз в крови</w:t>
            </w:r>
          </w:p>
        </w:tc>
        <w:tc>
          <w:tcPr>
            <w:tcW w:w="3115" w:type="dxa"/>
          </w:tcPr>
          <w:p w14:paraId="4BB0B4A7" w14:textId="542A94D5" w:rsidR="005E53F1" w:rsidRPr="0026167D" w:rsidRDefault="007D142F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Нечасто</w:t>
            </w:r>
          </w:p>
        </w:tc>
      </w:tr>
    </w:tbl>
    <w:p w14:paraId="306396C6" w14:textId="0C834CAA" w:rsidR="005E53F1" w:rsidRPr="0026167D" w:rsidRDefault="003A584D" w:rsidP="002616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67D">
        <w:rPr>
          <w:rFonts w:ascii="Times New Roman" w:hAnsi="Times New Roman" w:cs="Times New Roman"/>
          <w:color w:val="000000"/>
          <w:sz w:val="24"/>
          <w:szCs w:val="24"/>
        </w:rPr>
        <w:t>Нежелательные реакции, представленные в таблице ниже, основаны на объединенных данных, полученных с препаратами для небулайзерной терапии, содержащими тобрамицин.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A584D" w:rsidRPr="0026167D" w14:paraId="5C0F10BF" w14:textId="77777777" w:rsidTr="003A584D">
        <w:tc>
          <w:tcPr>
            <w:tcW w:w="3114" w:type="dxa"/>
          </w:tcPr>
          <w:p w14:paraId="01881D60" w14:textId="14E23DF7" w:rsidR="003A584D" w:rsidRPr="0026167D" w:rsidRDefault="003A584D" w:rsidP="0026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Системно-органный класс</w:t>
            </w:r>
          </w:p>
        </w:tc>
        <w:tc>
          <w:tcPr>
            <w:tcW w:w="3115" w:type="dxa"/>
          </w:tcPr>
          <w:p w14:paraId="5DDB995B" w14:textId="34C383A6" w:rsidR="003A584D" w:rsidRPr="0026167D" w:rsidRDefault="003A584D" w:rsidP="0026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Нежелательная реакция</w:t>
            </w:r>
          </w:p>
        </w:tc>
        <w:tc>
          <w:tcPr>
            <w:tcW w:w="3115" w:type="dxa"/>
          </w:tcPr>
          <w:p w14:paraId="4C971BB7" w14:textId="1CA7569D" w:rsidR="003A584D" w:rsidRPr="0026167D" w:rsidRDefault="003A584D" w:rsidP="00261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Частота</w:t>
            </w:r>
          </w:p>
        </w:tc>
      </w:tr>
      <w:tr w:rsidR="003A584D" w:rsidRPr="0026167D" w14:paraId="49256336" w14:textId="77777777" w:rsidTr="003A584D">
        <w:tc>
          <w:tcPr>
            <w:tcW w:w="3114" w:type="dxa"/>
            <w:vMerge w:val="restart"/>
          </w:tcPr>
          <w:p w14:paraId="49026459" w14:textId="7A7390FF" w:rsidR="003A584D" w:rsidRPr="00454736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Инфекци</w:t>
            </w:r>
            <w:r w:rsidR="00E023A3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E023A3"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инвазии</w:t>
            </w:r>
          </w:p>
        </w:tc>
        <w:tc>
          <w:tcPr>
            <w:tcW w:w="3115" w:type="dxa"/>
          </w:tcPr>
          <w:p w14:paraId="7BD098EC" w14:textId="542A1C53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Ларингит</w:t>
            </w:r>
          </w:p>
        </w:tc>
        <w:tc>
          <w:tcPr>
            <w:tcW w:w="3115" w:type="dxa"/>
          </w:tcPr>
          <w:p w14:paraId="0C8799D6" w14:textId="211FBA8E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  <w:tr w:rsidR="003A584D" w:rsidRPr="0026167D" w14:paraId="1D8472B3" w14:textId="77777777" w:rsidTr="003A584D">
        <w:tc>
          <w:tcPr>
            <w:tcW w:w="3114" w:type="dxa"/>
            <w:vMerge/>
          </w:tcPr>
          <w:p w14:paraId="3A5BD87F" w14:textId="77777777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8D5DB8" w14:textId="649FDEC1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Грибковые инфекции, кандидоз полости рта</w:t>
            </w:r>
          </w:p>
        </w:tc>
        <w:tc>
          <w:tcPr>
            <w:tcW w:w="3115" w:type="dxa"/>
          </w:tcPr>
          <w:p w14:paraId="7A515706" w14:textId="1F9D8A0F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3A584D" w:rsidRPr="0026167D" w14:paraId="06FD8955" w14:textId="77777777" w:rsidTr="003A584D">
        <w:tc>
          <w:tcPr>
            <w:tcW w:w="3114" w:type="dxa"/>
          </w:tcPr>
          <w:p w14:paraId="7D30F7B1" w14:textId="724400DC" w:rsidR="003A584D" w:rsidRPr="00454736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стороны крови и лимфатической системы</w:t>
            </w:r>
          </w:p>
        </w:tc>
        <w:tc>
          <w:tcPr>
            <w:tcW w:w="3115" w:type="dxa"/>
          </w:tcPr>
          <w:p w14:paraId="5A9B4A1E" w14:textId="5A58D750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Лимфоаденопатия</w:t>
            </w:r>
          </w:p>
        </w:tc>
        <w:tc>
          <w:tcPr>
            <w:tcW w:w="3115" w:type="dxa"/>
          </w:tcPr>
          <w:p w14:paraId="127754D1" w14:textId="5A473DBB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3A584D" w:rsidRPr="0026167D" w14:paraId="5959156B" w14:textId="77777777" w:rsidTr="003A584D">
        <w:tc>
          <w:tcPr>
            <w:tcW w:w="3114" w:type="dxa"/>
          </w:tcPr>
          <w:p w14:paraId="478A2638" w14:textId="0DD78FB0" w:rsidR="003A584D" w:rsidRPr="00454736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Нарушения со стороны иммунной системы</w:t>
            </w:r>
          </w:p>
        </w:tc>
        <w:tc>
          <w:tcPr>
            <w:tcW w:w="3115" w:type="dxa"/>
          </w:tcPr>
          <w:p w14:paraId="19E90FDB" w14:textId="4B19A607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Реакции гиперчувствительности</w:t>
            </w:r>
          </w:p>
        </w:tc>
        <w:tc>
          <w:tcPr>
            <w:tcW w:w="3115" w:type="dxa"/>
          </w:tcPr>
          <w:p w14:paraId="1D121269" w14:textId="12C52C34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3A584D" w:rsidRPr="0026167D" w14:paraId="64DF3067" w14:textId="77777777" w:rsidTr="003A584D">
        <w:tc>
          <w:tcPr>
            <w:tcW w:w="3114" w:type="dxa"/>
          </w:tcPr>
          <w:p w14:paraId="49978A74" w14:textId="3E8E8EA2" w:rsidR="003A584D" w:rsidRPr="00454736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Нарушения </w:t>
            </w:r>
            <w:r w:rsidR="00C25A25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метаболизма</w:t>
            </w: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питания</w:t>
            </w:r>
          </w:p>
        </w:tc>
        <w:tc>
          <w:tcPr>
            <w:tcW w:w="3115" w:type="dxa"/>
          </w:tcPr>
          <w:p w14:paraId="55A76326" w14:textId="18E13CB5" w:rsidR="003A584D" w:rsidRPr="0026167D" w:rsidRDefault="003A584D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="00A41DA0"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орексия</w:t>
            </w:r>
          </w:p>
        </w:tc>
        <w:tc>
          <w:tcPr>
            <w:tcW w:w="3115" w:type="dxa"/>
          </w:tcPr>
          <w:p w14:paraId="11938EEF" w14:textId="073C963B" w:rsidR="003A584D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  <w:tr w:rsidR="00A41DA0" w:rsidRPr="0026167D" w14:paraId="50B7AE9B" w14:textId="77777777" w:rsidTr="003A584D">
        <w:tc>
          <w:tcPr>
            <w:tcW w:w="3114" w:type="dxa"/>
            <w:vMerge w:val="restart"/>
          </w:tcPr>
          <w:p w14:paraId="17015D3F" w14:textId="2809A655" w:rsidR="00A41DA0" w:rsidRPr="00454736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со стороны нервной системы</w:t>
            </w:r>
          </w:p>
        </w:tc>
        <w:tc>
          <w:tcPr>
            <w:tcW w:w="3115" w:type="dxa"/>
          </w:tcPr>
          <w:p w14:paraId="2A62FD53" w14:textId="211A504F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Головокружение, головная боль, афония (потеря голоса)</w:t>
            </w:r>
          </w:p>
        </w:tc>
        <w:tc>
          <w:tcPr>
            <w:tcW w:w="3115" w:type="dxa"/>
          </w:tcPr>
          <w:p w14:paraId="329D1EE9" w14:textId="08009C8D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  <w:tr w:rsidR="00A41DA0" w:rsidRPr="0026167D" w14:paraId="5F2457B7" w14:textId="77777777" w:rsidTr="003A584D">
        <w:tc>
          <w:tcPr>
            <w:tcW w:w="3114" w:type="dxa"/>
            <w:vMerge/>
          </w:tcPr>
          <w:p w14:paraId="484C8A92" w14:textId="77777777" w:rsidR="00A41DA0" w:rsidRPr="00454736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B6CD696" w14:textId="059F4A66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Сомноленция (патологическая сонливость)</w:t>
            </w:r>
          </w:p>
        </w:tc>
        <w:tc>
          <w:tcPr>
            <w:tcW w:w="3115" w:type="dxa"/>
          </w:tcPr>
          <w:p w14:paraId="59710046" w14:textId="08E3FFE9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A41DA0" w:rsidRPr="0026167D" w14:paraId="7E6497FA" w14:textId="77777777" w:rsidTr="003A584D">
        <w:tc>
          <w:tcPr>
            <w:tcW w:w="3114" w:type="dxa"/>
            <w:vMerge w:val="restart"/>
          </w:tcPr>
          <w:p w14:paraId="06143E13" w14:textId="490AB744" w:rsidR="00A41DA0" w:rsidRPr="00454736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Нарушения со стороны органа слуха и </w:t>
            </w:r>
            <w:r w:rsidR="00C25A25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лабиринта </w:t>
            </w:r>
          </w:p>
        </w:tc>
        <w:tc>
          <w:tcPr>
            <w:tcW w:w="3115" w:type="dxa"/>
          </w:tcPr>
          <w:p w14:paraId="519E22DD" w14:textId="3B2587F1" w:rsidR="00A41DA0" w:rsidRPr="0026167D" w:rsidRDefault="00A41DA0" w:rsidP="0002644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Шум в ушах, снижение слуха (см. раздел</w:t>
            </w:r>
            <w:r w:rsidR="00026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4.4</w:t>
            </w: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3AAC4876" w14:textId="3F4BE0AE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  <w:tr w:rsidR="00A41DA0" w:rsidRPr="0026167D" w14:paraId="46E4DD6F" w14:textId="77777777" w:rsidTr="003A584D">
        <w:tc>
          <w:tcPr>
            <w:tcW w:w="3114" w:type="dxa"/>
            <w:vMerge/>
          </w:tcPr>
          <w:p w14:paraId="4E874802" w14:textId="77777777" w:rsidR="00A41DA0" w:rsidRPr="00454736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E26352" w14:textId="1256E981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Заболевания уха, ушные боли</w:t>
            </w:r>
          </w:p>
        </w:tc>
        <w:tc>
          <w:tcPr>
            <w:tcW w:w="3115" w:type="dxa"/>
          </w:tcPr>
          <w:p w14:paraId="26091E87" w14:textId="317A8058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A41DA0" w:rsidRPr="0026167D" w14:paraId="037AB563" w14:textId="77777777" w:rsidTr="003A584D">
        <w:tc>
          <w:tcPr>
            <w:tcW w:w="3114" w:type="dxa"/>
            <w:vMerge w:val="restart"/>
          </w:tcPr>
          <w:p w14:paraId="5CDDEC4D" w14:textId="1C644284" w:rsidR="00A41DA0" w:rsidRPr="00454736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со стороны дыхательн</w:t>
            </w:r>
            <w:r w:rsidR="00C25A25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25A25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системы</w:t>
            </w: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органов грудной клетки и средостения</w:t>
            </w:r>
          </w:p>
        </w:tc>
        <w:tc>
          <w:tcPr>
            <w:tcW w:w="3115" w:type="dxa"/>
          </w:tcPr>
          <w:p w14:paraId="48BF317F" w14:textId="56DA700E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Кашель, фарингит, дисфония, диспноэ (одышка)</w:t>
            </w:r>
          </w:p>
        </w:tc>
        <w:tc>
          <w:tcPr>
            <w:tcW w:w="3115" w:type="dxa"/>
          </w:tcPr>
          <w:p w14:paraId="69DAA1B6" w14:textId="5312DDD8" w:rsidR="00A41DA0" w:rsidRPr="0026167D" w:rsidRDefault="0074274E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Нечасто</w:t>
            </w:r>
          </w:p>
        </w:tc>
      </w:tr>
      <w:tr w:rsidR="00A41DA0" w:rsidRPr="0026167D" w14:paraId="03581EBE" w14:textId="77777777" w:rsidTr="003A584D">
        <w:tc>
          <w:tcPr>
            <w:tcW w:w="3114" w:type="dxa"/>
            <w:vMerge/>
          </w:tcPr>
          <w:p w14:paraId="7F39D47E" w14:textId="77777777" w:rsidR="00A41DA0" w:rsidRPr="00454736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6899DD5B" w14:textId="2D4AF415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Бронхоспазм, чувство дискомфорта в грудной клетке, нарушение функции легких, кровохарканье, носовое кровотечение, ринит, бронхиальная астма, продуктивный кашель (кашель с мокротой)</w:t>
            </w:r>
          </w:p>
        </w:tc>
        <w:tc>
          <w:tcPr>
            <w:tcW w:w="3115" w:type="dxa"/>
          </w:tcPr>
          <w:p w14:paraId="71CDE85D" w14:textId="37899545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  <w:tr w:rsidR="00A41DA0" w:rsidRPr="0026167D" w14:paraId="51CB9C25" w14:textId="77777777" w:rsidTr="003A584D">
        <w:tc>
          <w:tcPr>
            <w:tcW w:w="3114" w:type="dxa"/>
            <w:vMerge/>
          </w:tcPr>
          <w:p w14:paraId="2E86DDC8" w14:textId="77777777" w:rsidR="00A41DA0" w:rsidRPr="00454736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F71235" w14:textId="3ABFAFBE" w:rsidR="00A41DA0" w:rsidRPr="0026167D" w:rsidRDefault="00A41DA0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Гипервент</w:t>
            </w:r>
            <w:r w:rsidR="0031782B"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иляция, гипоксия, синусит</w:t>
            </w:r>
          </w:p>
        </w:tc>
        <w:tc>
          <w:tcPr>
            <w:tcW w:w="3115" w:type="dxa"/>
          </w:tcPr>
          <w:p w14:paraId="4F8238D8" w14:textId="5D27FD41" w:rsidR="00A41DA0" w:rsidRPr="0026167D" w:rsidRDefault="0031782B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227221" w:rsidRPr="0026167D" w14:paraId="3B6D5FBB" w14:textId="77777777" w:rsidTr="003A584D">
        <w:tc>
          <w:tcPr>
            <w:tcW w:w="3114" w:type="dxa"/>
            <w:vMerge w:val="restart"/>
          </w:tcPr>
          <w:p w14:paraId="29420648" w14:textId="496D07B2" w:rsidR="00227221" w:rsidRPr="00454736" w:rsidRDefault="00C25A25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="00227221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елудочно-кишечн</w:t>
            </w: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r w:rsidR="00227221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</w:t>
            </w:r>
          </w:p>
        </w:tc>
        <w:tc>
          <w:tcPr>
            <w:tcW w:w="3115" w:type="dxa"/>
          </w:tcPr>
          <w:p w14:paraId="64F7B4C5" w14:textId="2CCDA79D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Дисгевзия (извращение вкуса), изъязвления в полости рта, рвота, тошнота</w:t>
            </w:r>
          </w:p>
        </w:tc>
        <w:tc>
          <w:tcPr>
            <w:tcW w:w="3115" w:type="dxa"/>
          </w:tcPr>
          <w:p w14:paraId="0DDEE7C0" w14:textId="4234C347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  <w:tr w:rsidR="00227221" w:rsidRPr="0026167D" w14:paraId="2D09E70D" w14:textId="77777777" w:rsidTr="003A584D">
        <w:tc>
          <w:tcPr>
            <w:tcW w:w="3114" w:type="dxa"/>
            <w:vMerge/>
          </w:tcPr>
          <w:p w14:paraId="77CF9D9A" w14:textId="77777777" w:rsidR="00227221" w:rsidRPr="00454736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2DE0385" w14:textId="686EBFC3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Диарея, боли в животе</w:t>
            </w:r>
          </w:p>
        </w:tc>
        <w:tc>
          <w:tcPr>
            <w:tcW w:w="3115" w:type="dxa"/>
          </w:tcPr>
          <w:p w14:paraId="4A39F8C8" w14:textId="6EF0BAD1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227221" w:rsidRPr="0026167D" w14:paraId="0C79FE03" w14:textId="77777777" w:rsidTr="003A584D">
        <w:tc>
          <w:tcPr>
            <w:tcW w:w="3114" w:type="dxa"/>
            <w:vMerge w:val="restart"/>
          </w:tcPr>
          <w:p w14:paraId="160AE352" w14:textId="7D8CB036" w:rsidR="00227221" w:rsidRPr="00454736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со стороны кожи и подкожных тканей</w:t>
            </w:r>
          </w:p>
        </w:tc>
        <w:tc>
          <w:tcPr>
            <w:tcW w:w="3115" w:type="dxa"/>
          </w:tcPr>
          <w:p w14:paraId="3ABF8B15" w14:textId="7989E652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Сыпь</w:t>
            </w:r>
          </w:p>
        </w:tc>
        <w:tc>
          <w:tcPr>
            <w:tcW w:w="3115" w:type="dxa"/>
          </w:tcPr>
          <w:p w14:paraId="61476EFE" w14:textId="2A451950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  <w:tr w:rsidR="00227221" w:rsidRPr="0026167D" w14:paraId="00D909B9" w14:textId="77777777" w:rsidTr="003A584D">
        <w:tc>
          <w:tcPr>
            <w:tcW w:w="3114" w:type="dxa"/>
            <w:vMerge/>
          </w:tcPr>
          <w:p w14:paraId="43A6AF77" w14:textId="77777777" w:rsidR="00227221" w:rsidRPr="00454736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6CA63C26" w14:textId="273160FD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Крапивница, зуд</w:t>
            </w:r>
          </w:p>
        </w:tc>
        <w:tc>
          <w:tcPr>
            <w:tcW w:w="3115" w:type="dxa"/>
          </w:tcPr>
          <w:p w14:paraId="405E686E" w14:textId="34723087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A41DA0" w:rsidRPr="0026167D" w14:paraId="26E43953" w14:textId="77777777" w:rsidTr="003A584D">
        <w:tc>
          <w:tcPr>
            <w:tcW w:w="3114" w:type="dxa"/>
          </w:tcPr>
          <w:p w14:paraId="68157874" w14:textId="32AFA459" w:rsidR="00A41DA0" w:rsidRPr="00454736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Нарушения со стороны мышечной</w:t>
            </w:r>
            <w:r w:rsidR="00C25A25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скелетной</w:t>
            </w: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соединительной ткани </w:t>
            </w:r>
          </w:p>
        </w:tc>
        <w:tc>
          <w:tcPr>
            <w:tcW w:w="3115" w:type="dxa"/>
          </w:tcPr>
          <w:p w14:paraId="1ABAD5C8" w14:textId="6F7144D9" w:rsidR="00A41DA0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Боль в спине</w:t>
            </w:r>
          </w:p>
        </w:tc>
        <w:tc>
          <w:tcPr>
            <w:tcW w:w="3115" w:type="dxa"/>
          </w:tcPr>
          <w:p w14:paraId="0CA812C1" w14:textId="5D20DBC9" w:rsidR="00A41DA0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227221" w:rsidRPr="0026167D" w14:paraId="2393CB58" w14:textId="77777777" w:rsidTr="003A584D">
        <w:tc>
          <w:tcPr>
            <w:tcW w:w="3114" w:type="dxa"/>
            <w:vMerge w:val="restart"/>
          </w:tcPr>
          <w:p w14:paraId="50B40F9C" w14:textId="2A6DA0C3" w:rsidR="00227221" w:rsidRPr="00454736" w:rsidRDefault="00227221" w:rsidP="000264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Общие </w:t>
            </w:r>
            <w:r w:rsidR="00026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</w:t>
            </w:r>
            <w:r w:rsidR="00026444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="00C25A25"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реакции </w:t>
            </w: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месте введения</w:t>
            </w:r>
          </w:p>
        </w:tc>
        <w:tc>
          <w:tcPr>
            <w:tcW w:w="3115" w:type="dxa"/>
          </w:tcPr>
          <w:p w14:paraId="26C7B4A2" w14:textId="6966E0C8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Астения, пирексия (повышение температуры тела), боли в грудной клетке, боли, тошнота</w:t>
            </w:r>
          </w:p>
        </w:tc>
        <w:tc>
          <w:tcPr>
            <w:tcW w:w="3115" w:type="dxa"/>
          </w:tcPr>
          <w:p w14:paraId="56695FFA" w14:textId="78CE5915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  <w:tr w:rsidR="00227221" w:rsidRPr="0026167D" w14:paraId="66A675FF" w14:textId="77777777" w:rsidTr="003A584D">
        <w:tc>
          <w:tcPr>
            <w:tcW w:w="3114" w:type="dxa"/>
            <w:vMerge/>
          </w:tcPr>
          <w:p w14:paraId="316EA592" w14:textId="77777777" w:rsidR="00227221" w:rsidRPr="00454736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CD2A355" w14:textId="58BD1985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Чувство общего недомогания</w:t>
            </w:r>
          </w:p>
        </w:tc>
        <w:tc>
          <w:tcPr>
            <w:tcW w:w="3115" w:type="dxa"/>
          </w:tcPr>
          <w:p w14:paraId="37D0F727" w14:textId="4FC644DE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Очень редко</w:t>
            </w:r>
          </w:p>
        </w:tc>
      </w:tr>
      <w:tr w:rsidR="00227221" w:rsidRPr="0026167D" w14:paraId="2A7550B1" w14:textId="77777777" w:rsidTr="003A584D">
        <w:tc>
          <w:tcPr>
            <w:tcW w:w="3114" w:type="dxa"/>
          </w:tcPr>
          <w:p w14:paraId="28DD9C1E" w14:textId="3C4E0A1F" w:rsidR="00227221" w:rsidRPr="00454736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7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и инструментальные данные</w:t>
            </w:r>
          </w:p>
        </w:tc>
        <w:tc>
          <w:tcPr>
            <w:tcW w:w="3115" w:type="dxa"/>
          </w:tcPr>
          <w:p w14:paraId="58BAE7AA" w14:textId="208C5139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Снижение показателей функции легких</w:t>
            </w:r>
          </w:p>
        </w:tc>
        <w:tc>
          <w:tcPr>
            <w:tcW w:w="3115" w:type="dxa"/>
          </w:tcPr>
          <w:p w14:paraId="15564A83" w14:textId="45B11C52" w:rsidR="00227221" w:rsidRPr="0026167D" w:rsidRDefault="00227221" w:rsidP="0026167D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7D">
              <w:rPr>
                <w:rFonts w:ascii="Times New Roman" w:hAnsi="Times New Roman" w:cs="Times New Roman"/>
                <w:iCs/>
                <w:sz w:val="24"/>
                <w:szCs w:val="24"/>
              </w:rPr>
              <w:t>Редко</w:t>
            </w:r>
          </w:p>
        </w:tc>
      </w:tr>
    </w:tbl>
    <w:p w14:paraId="0B267C63" w14:textId="5841032B" w:rsidR="001F6354" w:rsidRDefault="001F6354" w:rsidP="00ED6583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Hlk61517485"/>
    </w:p>
    <w:p w14:paraId="51236648" w14:textId="5F61C328" w:rsidR="00E023A3" w:rsidRDefault="00E023A3" w:rsidP="00ED6583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Наблюдались следующие дополнительные нежелательные эффекты, некоторые из которых также являются часто встречающимися последствиями основного заболевания, но при возникновении которых не было возможности исключить причинно-следственную связь с ингаляционным введением тобрамицина: изменение цвета мокроты, инфекции дыхательных путей, миалгия, полипы носа и воспаление среднего уха. </w:t>
      </w:r>
    </w:p>
    <w:p w14:paraId="51719DCE" w14:textId="6367409C" w:rsidR="00C466BD" w:rsidRPr="00DB5B93" w:rsidRDefault="00C466BD" w:rsidP="00ED65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</w:pPr>
      <w:r w:rsidRPr="00DB5B9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 w:bidi="ru-RU"/>
        </w:rPr>
        <w:t>Сообщение о подозреваемых нежелательных реакциях</w:t>
      </w:r>
    </w:p>
    <w:p w14:paraId="0EBFD95B" w14:textId="563AA192" w:rsidR="00C466BD" w:rsidRPr="00DB5B93" w:rsidRDefault="00C466BD" w:rsidP="00ED65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  <w:r w:rsidRPr="00DB5B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Важно сообщить о подозреваемых нежелательных реакциях после регистрации препарата с целью обеспечения непрерывного мониторинга соотношения «польза</w:t>
      </w:r>
      <w:r w:rsidR="0096799E" w:rsidRPr="00DB5B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– </w:t>
      </w:r>
      <w:r w:rsidRPr="00DB5B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риск» лекарственного препарата. Медицинским работникам рекомендуется сообщать о любых подозреваемых нежелательных реакциях лекарственного препарата </w:t>
      </w:r>
      <w:r w:rsidR="00F36C87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</w:t>
      </w:r>
      <w:r w:rsidR="00F36C87">
        <w:rPr>
          <w:rFonts w:ascii="Times New Roman" w:hAnsi="Times New Roman" w:cs="Times New Roman"/>
          <w:color w:val="000000"/>
          <w:sz w:val="24"/>
          <w:szCs w:val="24"/>
        </w:rPr>
        <w:t xml:space="preserve">Фармасинтез </w:t>
      </w:r>
      <w:r w:rsidRPr="00DB5B93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через национальные системы сообщения о нежелательных реакциях государств – членов Евразийского экономического союза:</w:t>
      </w:r>
    </w:p>
    <w:p w14:paraId="4C3132B7" w14:textId="77777777" w:rsidR="00544CB4" w:rsidRDefault="00C466BD" w:rsidP="00544C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B93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544CB4" w:rsidRPr="00544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CE6A6" w14:textId="0DC372FD" w:rsidR="003429C5" w:rsidRDefault="00544CB4" w:rsidP="003429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A25">
        <w:rPr>
          <w:rFonts w:ascii="Times New Roman" w:hAnsi="Times New Roman" w:cs="Times New Roman"/>
          <w:sz w:val="24"/>
          <w:szCs w:val="24"/>
        </w:rPr>
        <w:t>Адрес: 109012, г. Москва, Славянская площадь, д. 4, стр. 1</w:t>
      </w:r>
    </w:p>
    <w:p w14:paraId="7A44BC5B" w14:textId="0236EF74" w:rsidR="003429C5" w:rsidRPr="00C25A25" w:rsidRDefault="003429C5" w:rsidP="003429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A25">
        <w:rPr>
          <w:rFonts w:ascii="Times New Roman" w:hAnsi="Times New Roman" w:cs="Times New Roman"/>
          <w:sz w:val="24"/>
          <w:szCs w:val="24"/>
        </w:rPr>
        <w:t>Федеральная служба по надзору в сфере здравоохранения (Росздравнадзор)</w:t>
      </w:r>
    </w:p>
    <w:p w14:paraId="7DC6A604" w14:textId="77777777" w:rsidR="00C25A25" w:rsidRPr="00C25A25" w:rsidRDefault="00C25A25" w:rsidP="00C25A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A25">
        <w:rPr>
          <w:rFonts w:ascii="Times New Roman" w:hAnsi="Times New Roman" w:cs="Times New Roman"/>
          <w:sz w:val="24"/>
          <w:szCs w:val="24"/>
        </w:rPr>
        <w:t>Тел.: +7 (499) 578-06-70 (доб.187), +7 (499) 578-02-20</w:t>
      </w:r>
    </w:p>
    <w:p w14:paraId="48DBDA18" w14:textId="4FC97821" w:rsidR="00C25A25" w:rsidRPr="00C25A25" w:rsidRDefault="00C25A25" w:rsidP="00C25A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A2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="00E977A3" w:rsidRPr="00A96D01">
          <w:rPr>
            <w:rStyle w:val="af1"/>
            <w:rFonts w:ascii="Times New Roman" w:hAnsi="Times New Roman" w:cs="Times New Roman"/>
            <w:sz w:val="24"/>
            <w:szCs w:val="24"/>
          </w:rPr>
          <w:t>info@roszdravnadzor.gov.ru</w:t>
        </w:r>
      </w:hyperlink>
      <w:r w:rsidR="00E977A3">
        <w:rPr>
          <w:rStyle w:val="af1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25A25">
          <w:rPr>
            <w:rStyle w:val="af1"/>
            <w:rFonts w:ascii="Times New Roman" w:hAnsi="Times New Roman" w:cs="Times New Roman"/>
            <w:sz w:val="24"/>
            <w:szCs w:val="24"/>
          </w:rPr>
          <w:t>pharm@roszdravnadzor.gov.ru</w:t>
        </w:r>
      </w:hyperlink>
    </w:p>
    <w:p w14:paraId="354AA143" w14:textId="77777777" w:rsidR="00C25A25" w:rsidRPr="00C25A25" w:rsidRDefault="00C25A25" w:rsidP="00C25A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A25"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10" w:history="1">
        <w:r w:rsidRPr="00C25A25">
          <w:rPr>
            <w:rStyle w:val="af1"/>
            <w:rFonts w:ascii="Times New Roman" w:hAnsi="Times New Roman" w:cs="Times New Roman"/>
            <w:sz w:val="24"/>
            <w:szCs w:val="24"/>
          </w:rPr>
          <w:t>www.roszdravnadzor.gov.ru</w:t>
        </w:r>
      </w:hyperlink>
    </w:p>
    <w:bookmarkEnd w:id="5"/>
    <w:p w14:paraId="29366006" w14:textId="77777777" w:rsidR="000151EA" w:rsidRPr="00AD548C" w:rsidRDefault="000151EA" w:rsidP="00ED658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48C">
        <w:rPr>
          <w:rFonts w:ascii="Times New Roman" w:hAnsi="Times New Roman" w:cs="Times New Roman"/>
          <w:b/>
          <w:sz w:val="24"/>
          <w:szCs w:val="24"/>
        </w:rPr>
        <w:t>4.9. Передозировка</w:t>
      </w:r>
    </w:p>
    <w:p w14:paraId="13AC94DF" w14:textId="0D828AD1" w:rsidR="0096799E" w:rsidRPr="003E2354" w:rsidRDefault="0096799E" w:rsidP="009679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354">
        <w:rPr>
          <w:rFonts w:ascii="Times New Roman" w:hAnsi="Times New Roman" w:cs="Times New Roman"/>
          <w:sz w:val="24"/>
          <w:szCs w:val="24"/>
          <w:u w:val="single"/>
        </w:rPr>
        <w:t>Симптомы</w:t>
      </w:r>
    </w:p>
    <w:p w14:paraId="2ABB9299" w14:textId="153532E7" w:rsidR="003E2354" w:rsidRDefault="003E2354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ингаляционном введении тобрамицин имеет низкую системную биодоступность. Симптомом передозировки может быть сильная осиплость голоса.</w:t>
      </w:r>
    </w:p>
    <w:p w14:paraId="78F3C222" w14:textId="77777777" w:rsidR="003E2354" w:rsidRDefault="003E2354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 случайном внутривенном введении тобрамицина могут развиться симптомы и признаки передозировки парентерально вводимого тобрамицина такие как головокружение, шум в ушах, вертиго, снижение слуха, в частности снижение восприятия звуков высоких тонов, респираторный дистресс-синдром с дыхательной недостаточностью, блокада нервно-мышечной передачи, а также нарушение функции почек. Для оценки степени передозировки тобрамицина возможно определение концентрации тобрамицина в плазме крови.</w:t>
      </w:r>
    </w:p>
    <w:p w14:paraId="6B9ECB05" w14:textId="06E7D159" w:rsidR="003E2354" w:rsidRDefault="003E2354" w:rsidP="00CE0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Поскольку тобрамицин плохо всасывается из неповрежденного желудочно-кишечного тракта, при случайном проглатывании тобрамицина его токсическое действие маловероятно.</w:t>
      </w:r>
    </w:p>
    <w:p w14:paraId="7CB4C71A" w14:textId="7D63757A" w:rsidR="0096799E" w:rsidRPr="003E2354" w:rsidRDefault="0096799E" w:rsidP="003E2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2354">
        <w:rPr>
          <w:rFonts w:ascii="Times New Roman" w:hAnsi="Times New Roman" w:cs="Times New Roman"/>
          <w:sz w:val="24"/>
          <w:szCs w:val="24"/>
          <w:u w:val="single"/>
        </w:rPr>
        <w:t>Лечение</w:t>
      </w:r>
    </w:p>
    <w:p w14:paraId="1955B3B3" w14:textId="74F69D9D" w:rsidR="003E2354" w:rsidRDefault="003E2354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передозировки тобрамицина необходимо обеспечить наблюдение за пациентами, а также назначить соответствующую симптоматическую терапию, возможно проведение</w:t>
      </w:r>
      <w:r w:rsidR="00CE004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гемодиализа.</w:t>
      </w:r>
    </w:p>
    <w:p w14:paraId="4DC29151" w14:textId="17AFF48A" w:rsidR="003E2354" w:rsidRPr="001F6354" w:rsidRDefault="003E2354" w:rsidP="003E2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острого развития токсического действия надо немедленно прекратить прием препарата </w:t>
      </w:r>
      <w:r w:rsidR="00F36C87" w:rsidRPr="0026167D">
        <w:rPr>
          <w:rFonts w:ascii="Times New Roman" w:hAnsi="Times New Roman" w:cs="Times New Roman"/>
          <w:color w:val="000000"/>
          <w:sz w:val="24"/>
          <w:szCs w:val="24"/>
        </w:rPr>
        <w:t xml:space="preserve">ТОБРАМИЦИН </w:t>
      </w:r>
      <w:r w:rsidR="00F36C87">
        <w:rPr>
          <w:rFonts w:ascii="Times New Roman" w:hAnsi="Times New Roman" w:cs="Times New Roman"/>
          <w:color w:val="000000"/>
          <w:sz w:val="24"/>
          <w:szCs w:val="24"/>
        </w:rPr>
        <w:t xml:space="preserve">Фармасинтез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провести исследование функции почек. В случае развития передозировки ингаляционного тобрамицина следует учитывать возможность того, что она может быть связана с его взаимодействием с препаратами, изменяющими (замедляющими) выведение тобрамицина из системного кровотока, или с другими лекарственными препаратами (см. раздел </w:t>
      </w:r>
      <w:r w:rsidR="00C25A25">
        <w:rPr>
          <w:rFonts w:ascii="Times New Roman" w:hAnsi="Times New Roman" w:cs="Times New Roman"/>
          <w:color w:val="000000"/>
          <w:sz w:val="24"/>
          <w:szCs w:val="24"/>
        </w:rPr>
        <w:t>4.5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6B32985" w14:textId="084F7A51" w:rsidR="004A1775" w:rsidRPr="00AD548C" w:rsidRDefault="00F61C8B" w:rsidP="00AD54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D548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5. </w:t>
      </w:r>
      <w:r w:rsidR="00D01205" w:rsidRPr="00AD548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ФАРМАКОЛОГИЧЕСКИЕ СВОЙСТВА</w:t>
      </w:r>
    </w:p>
    <w:p w14:paraId="0D4237AD" w14:textId="042CCC0C" w:rsidR="00BB439E" w:rsidRPr="00AD548C" w:rsidRDefault="00BB439E" w:rsidP="00AD54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D548C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5.1. Фармакодинамические свойства</w:t>
      </w:r>
    </w:p>
    <w:p w14:paraId="543541E6" w14:textId="54450CCD" w:rsidR="00862BA0" w:rsidRPr="00862BA0" w:rsidRDefault="00BB439E" w:rsidP="001F6354">
      <w:pPr>
        <w:spacing w:after="0" w:line="36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2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Фармакотерапевтическая группа: </w:t>
      </w:r>
      <w:r w:rsidR="00862BA0" w:rsidRPr="00862B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2BA0" w:rsidRPr="00862BA0">
        <w:rPr>
          <w:rFonts w:ascii="Times New Roman CYR" w:hAnsi="Times New Roman CYR" w:cs="Times New Roman CYR"/>
          <w:color w:val="000000"/>
          <w:sz w:val="24"/>
          <w:szCs w:val="24"/>
        </w:rPr>
        <w:t>нтиб</w:t>
      </w:r>
      <w:r w:rsidR="00C25A25">
        <w:rPr>
          <w:rFonts w:ascii="Times New Roman CYR" w:hAnsi="Times New Roman CYR" w:cs="Times New Roman CYR"/>
          <w:color w:val="000000"/>
          <w:sz w:val="24"/>
          <w:szCs w:val="24"/>
        </w:rPr>
        <w:t>актериальные средства системного действия; аминогликозиды; другие аминогликозиды.</w:t>
      </w:r>
      <w:r w:rsidR="00862BA0" w:rsidRPr="00862BA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086E1158" w14:textId="3BA760C6" w:rsidR="00BB439E" w:rsidRPr="00862BA0" w:rsidRDefault="00BB439E" w:rsidP="001F63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BA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Код ATX:</w:t>
      </w:r>
      <w:r w:rsidRPr="00862BA0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62BA0" w:rsidRPr="00862B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</w:t>
      </w:r>
      <w:r w:rsidR="00862BA0" w:rsidRPr="00B907DE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862BA0" w:rsidRPr="00862B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GB</w:t>
      </w:r>
      <w:r w:rsidR="00862BA0" w:rsidRPr="00B907DE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</w:p>
    <w:p w14:paraId="051BF75D" w14:textId="2FB88FF8" w:rsidR="00660791" w:rsidRPr="00B907DE" w:rsidRDefault="00660791" w:rsidP="001F63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907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Механизм действия</w:t>
      </w:r>
    </w:p>
    <w:p w14:paraId="67C9C977" w14:textId="7808F6ED" w:rsidR="00862BA0" w:rsidRDefault="00862BA0" w:rsidP="001F6354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Тобрамицин является аминогликозидным антибиотиком, продуцируемым грибами вида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Streptomyces tenebrarius.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Основной механизм его действия </w:t>
      </w:r>
      <w:r w:rsidR="00CE004F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угнетение синтеза белка в</w:t>
      </w:r>
      <w:r w:rsidR="00CE004F">
        <w:rPr>
          <w:rFonts w:ascii="Times New Roman CYR" w:hAnsi="Times New Roman CYR" w:cs="Times New Roman CYR"/>
          <w:color w:val="000000"/>
          <w:sz w:val="24"/>
          <w:szCs w:val="24"/>
        </w:rPr>
        <w:t xml:space="preserve"> м</w:t>
      </w:r>
      <w:r w:rsidRPr="00862BA0">
        <w:rPr>
          <w:rFonts w:ascii="Times New Roman CYR" w:hAnsi="Times New Roman CYR" w:cs="Times New Roman CYR"/>
          <w:color w:val="000000"/>
          <w:sz w:val="24"/>
          <w:szCs w:val="24"/>
        </w:rPr>
        <w:t>икробной клетке, что приводит к нарушению проницаемости клеточной мембраны, ее повреждению и последующей гибели бактериальной клетки.</w:t>
      </w:r>
    </w:p>
    <w:p w14:paraId="58CB1478" w14:textId="0717513E" w:rsidR="00D91D1F" w:rsidRPr="00454736" w:rsidRDefault="00D91D1F" w:rsidP="001F6354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454736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Фармакодинамические эффекты</w:t>
      </w:r>
    </w:p>
    <w:p w14:paraId="5294AD99" w14:textId="75A26C8A" w:rsidR="00862BA0" w:rsidRDefault="00862BA0" w:rsidP="001F6354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2BA0">
        <w:rPr>
          <w:rFonts w:ascii="Times New Roman CYR" w:hAnsi="Times New Roman CYR" w:cs="Times New Roman CYR"/>
          <w:color w:val="000000"/>
          <w:sz w:val="24"/>
          <w:szCs w:val="24"/>
        </w:rPr>
        <w:t xml:space="preserve">Активен в отношении широкого спектра грамотрицательных микроорганизмов, включая </w:t>
      </w:r>
      <w:r w:rsidRPr="00862BA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Pseudomonas aeruginosa</w:t>
      </w:r>
      <w:r w:rsidRPr="00862BA0">
        <w:rPr>
          <w:rFonts w:ascii="Times New Roman CYR" w:hAnsi="Times New Roman CYR" w:cs="Times New Roman CYR"/>
          <w:color w:val="000000"/>
          <w:sz w:val="24"/>
          <w:szCs w:val="24"/>
        </w:rPr>
        <w:t xml:space="preserve"> (синегнойную палочку). Бактерицидные концентрации тобрамицина в отношении </w:t>
      </w:r>
      <w:r w:rsidRPr="00862BA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Pseudomonas aeruginosa</w:t>
      </w:r>
      <w:r w:rsidRPr="00862BA0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равны или несколько превышают минимальные ингибирующие концентрации (МИК).</w:t>
      </w:r>
    </w:p>
    <w:p w14:paraId="1C4D28F6" w14:textId="77777777" w:rsidR="00CE004F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 xml:space="preserve">Предельные значения МИК </w:t>
      </w:r>
    </w:p>
    <w:p w14:paraId="7D39AE94" w14:textId="1B62C8F7" w:rsidR="00CE004F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Установленные предельные значения МИК для парентерального введения тобрамицина неприменимы для его ингаляционного введения. При муковисцидозе мокрота обладает ингибирующим действием на местную биологическую активность аминогликозидов при их небулайзерном введении. В связи с этим при ингаляции тобрамицина для развития его бактериостатического и бактерицидного действия на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</w:t>
      </w:r>
      <w:r w:rsidR="00CE004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aeruginosa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необходимо, чтобы концентрация тобрамицина в мокроте приблизительно в 10 и 25 раз, соответственно, превышала МИК, установленные для его парентерального введения. Установлено, что у 90</w:t>
      </w:r>
      <w:r w:rsidR="00F718FF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% и у 84</w:t>
      </w:r>
      <w:r w:rsidR="00CE004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% пациентов, получавших ингаляции тобрамицина, достигались его концентрации в мокроте, соответственно в 10 раз и 25 раз, превышающие МИК для выделенных у них штаммов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</w:t>
      </w:r>
      <w:r w:rsidR="00CE004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aeruginosa.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2AD7EC22" w14:textId="2C8ECC20" w:rsidR="00EC45F1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 большинства пациентов, у которых выделялись штаммы с величинами МИК для парентерального введения тобрамицина выше предельных значений, все же достигалась клиническая польза при ингаляциях тобрамицина.</w:t>
      </w:r>
    </w:p>
    <w:p w14:paraId="5CDFAF1A" w14:textId="77777777" w:rsidR="00CE004F" w:rsidRDefault="00EC45F1" w:rsidP="00EC45F1">
      <w:pPr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Чувствительность микроорганизмов </w:t>
      </w:r>
    </w:p>
    <w:p w14:paraId="51C941F3" w14:textId="77777777" w:rsidR="00CE004F" w:rsidRDefault="00EC45F1" w:rsidP="00EC45F1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связи с отсутствием общепринятых предельных значений МИК тобрамицина для его ингаляций следует с осторожностью подходить к определению чувствительности или нечувствительности микроорганизмов в случае применения небулайзерной терапии тобрамицином. </w:t>
      </w:r>
    </w:p>
    <w:p w14:paraId="7ACF9895" w14:textId="7C63D04C" w:rsidR="00CE004F" w:rsidRDefault="00EC45F1" w:rsidP="00EC45F1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клинических исследованиях с ингаляционным тобрамицином большинство пациентов (88</w:t>
      </w:r>
      <w:r w:rsidR="00CE004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%) с клиническими изолятами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</w:t>
      </w:r>
      <w:r w:rsidR="00CE004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aeruginosa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исходными значениями МИК тобрамицина </w:t>
      </w:r>
      <w:r w:rsidR="002E53F3">
        <w:rPr>
          <w:rFonts w:ascii="Times New Roman CYR" w:hAnsi="Times New Roman CYR" w:cs="Times New Roman CYR"/>
          <w:color w:val="283550"/>
          <w:sz w:val="24"/>
          <w:szCs w:val="24"/>
        </w:rPr>
        <w:t xml:space="preserve">&lt;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128 мкг/мл показали улучшение легочной функции после лечения тобрамицином. У пациентов со штаммами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</w:t>
      </w:r>
      <w:r w:rsidR="00CE004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aeruginosa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 исходными значениями МИК тобрамицина </w:t>
      </w:r>
      <w:r w:rsidR="00CE004F">
        <w:rPr>
          <w:rFonts w:ascii="Times New Roman CYR" w:hAnsi="Times New Roman CYR" w:cs="Times New Roman CYR"/>
          <w:color w:val="283550"/>
          <w:sz w:val="24"/>
          <w:szCs w:val="24"/>
        </w:rPr>
        <w:t>≥</w:t>
      </w:r>
      <w:r>
        <w:rPr>
          <w:rFonts w:ascii="Times New Roman CYR" w:hAnsi="Times New Roman CYR" w:cs="Times New Roman CYR"/>
          <w:color w:val="28355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128 мкг/мл имелась меньшая вероятность его клинической эффективности. </w:t>
      </w:r>
    </w:p>
    <w:p w14:paraId="732AD640" w14:textId="50DD92A3" w:rsidR="00EC45F1" w:rsidRPr="00EC45F1" w:rsidRDefault="00EC45F1" w:rsidP="00EC45F1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основании данных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in vitro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и/или опыта клинических исследований можно ожидать следующую чувствительность к тобрамицину у микроорганизмов, ассоциирующихся с легочными инфекциями при муковисцидозе: в</w:t>
      </w:r>
      <w:r w:rsidRPr="00EC45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группу чувствительных к тобрамицину микроорганизмов входят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Pseudomonas aeruginosa, Haemophilus influenzae, Staphylococcus aureus</w:t>
      </w:r>
      <w:r w:rsidR="00CE004F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E004F"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ечувствительными являются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Burkholderia cepacia, </w:t>
      </w:r>
      <w:r w:rsidRPr="00454736">
        <w:rPr>
          <w:rFonts w:ascii="Times New Roman CYR" w:hAnsi="Times New Roman CYR" w:cs="Times New Roman CYR"/>
          <w:i/>
          <w:iCs/>
          <w:sz w:val="24"/>
          <w:szCs w:val="24"/>
        </w:rPr>
        <w:t>S</w:t>
      </w:r>
      <w:r w:rsidRPr="00454736"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t</w:t>
      </w:r>
      <w:r w:rsidRPr="00454736">
        <w:rPr>
          <w:rFonts w:ascii="Times New Roman CYR" w:hAnsi="Times New Roman CYR" w:cs="Times New Roman CYR"/>
          <w:i/>
          <w:iCs/>
          <w:sz w:val="24"/>
          <w:szCs w:val="24"/>
        </w:rPr>
        <w:t>en</w:t>
      </w:r>
      <w:r w:rsidRPr="00454736"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otrophomon</w:t>
      </w:r>
      <w:r w:rsidRPr="00454736">
        <w:rPr>
          <w:rFonts w:ascii="Times New Roman CYR" w:hAnsi="Times New Roman CYR" w:cs="Times New Roman CYR"/>
          <w:i/>
          <w:iCs/>
          <w:sz w:val="24"/>
          <w:szCs w:val="24"/>
        </w:rPr>
        <w:t xml:space="preserve">as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maltophilia, Alcaligenes xylosoxidans.</w:t>
      </w:r>
    </w:p>
    <w:p w14:paraId="46AB6964" w14:textId="77777777" w:rsidR="009F4FD3" w:rsidRDefault="00CE004F" w:rsidP="00EC45F1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Лечение тобрамицином в клинических исследованиях показало небольшое, но четкое увеличение МИК тобрамицина, амикацина и гентамицина для протестированных клинических изолятов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P.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>a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eruginosa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9F4FD3">
        <w:rPr>
          <w:rFonts w:ascii="Times New Roman CYR" w:hAnsi="Times New Roman CYR" w:cs="Times New Roman CYR"/>
          <w:color w:val="000000"/>
          <w:sz w:val="24"/>
          <w:szCs w:val="24"/>
        </w:rPr>
        <w:t>Каждые дополнительные 6 месяцев лечения приводили к постепенному увеличению МИК, подобному по величине таковому, наблюдавшемуся в течение 6 месяцев в контролируемых клинических исследованиях.</w:t>
      </w:r>
    </w:p>
    <w:p w14:paraId="03FE0DA6" w14:textId="7F8C6746" w:rsidR="00EC45F1" w:rsidRDefault="00EC45F1" w:rsidP="00EC45F1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Наиболее распространенным механизмом резистентности к аминогликозидам, наблюдаемым у изолятов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</w:t>
      </w:r>
      <w:r w:rsidR="009F4FD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aeruginosa,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выделенных у хронически инфицированных пациентов с муковисцидозом, является развитие непроницаемости ее клеточной мембраны, приводящее к общей потери чувствительности микроорганизма ко всем аминогликозидам. Также было показано, что изоляты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P</w:t>
      </w:r>
      <w:r w:rsidR="009F4FD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aeruginosa,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выделенные у пациентов с муковисцидозом, проявляли адаптивную резистентность к аминогликозидам, для которой характерно восстановление чувствительности микроорганизмов после удаления антибиотика.</w:t>
      </w:r>
    </w:p>
    <w:p w14:paraId="5D940BC1" w14:textId="0ECC01E0" w:rsidR="00277A23" w:rsidRDefault="00277A23" w:rsidP="00EC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sz w:val="24"/>
          <w:szCs w:val="24"/>
          <w:u w:val="single"/>
        </w:rPr>
        <w:t>Клиническая эффективность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безопасность</w:t>
      </w:r>
    </w:p>
    <w:p w14:paraId="2132B553" w14:textId="3A7702F6" w:rsidR="009F4FD3" w:rsidRDefault="009F4FD3" w:rsidP="00EC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контролируемых клинических исследованиях лечение тобрамицином, проведенное с чередующимися циклами: 28 дней ингаляционного приема препарата (по 300 мг 2 раза в сутки) и 28 дней без приема препарата, приводило к улучшению легочной функции, при этом результаты поддерживали</w:t>
      </w:r>
      <w:r w:rsidR="00522792">
        <w:rPr>
          <w:rFonts w:ascii="Times New Roman" w:hAnsi="Times New Roman" w:cs="Times New Roman"/>
          <w:sz w:val="24"/>
          <w:szCs w:val="24"/>
        </w:rPr>
        <w:t xml:space="preserve">сь выше исходного уровня как во </w:t>
      </w:r>
      <w:r>
        <w:rPr>
          <w:rFonts w:ascii="Times New Roman" w:hAnsi="Times New Roman" w:cs="Times New Roman"/>
          <w:sz w:val="24"/>
          <w:szCs w:val="24"/>
        </w:rPr>
        <w:t xml:space="preserve">время 28-дневных </w:t>
      </w:r>
      <w:r w:rsidRPr="00522792">
        <w:rPr>
          <w:rFonts w:ascii="Times New Roman" w:hAnsi="Times New Roman" w:cs="Times New Roman"/>
          <w:sz w:val="24"/>
          <w:szCs w:val="24"/>
        </w:rPr>
        <w:t>периодов терапии, так и во время 28-дневных периодов без терапии.</w:t>
      </w:r>
      <w:r w:rsidRPr="00454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CA5F3D" w14:textId="77777777" w:rsidR="006200A5" w:rsidRDefault="006200A5" w:rsidP="00620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792">
        <w:rPr>
          <w:rFonts w:ascii="Times New Roman" w:hAnsi="Times New Roman" w:cs="Times New Roman"/>
          <w:sz w:val="24"/>
          <w:szCs w:val="24"/>
        </w:rPr>
        <w:t xml:space="preserve">Нет доказательств того, что пациенты, получавшие тобрамицин до 18 месяцев, подвергались большему риску инфицирования </w:t>
      </w:r>
      <w:r w:rsidRPr="0052279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5227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2792">
        <w:rPr>
          <w:rFonts w:ascii="Times New Roman" w:hAnsi="Times New Roman" w:cs="Times New Roman"/>
          <w:i/>
          <w:iCs/>
          <w:sz w:val="24"/>
          <w:szCs w:val="24"/>
          <w:lang w:val="en-US"/>
        </w:rPr>
        <w:t>cepacia</w:t>
      </w:r>
      <w:r w:rsidRPr="00522792">
        <w:rPr>
          <w:rFonts w:ascii="Times New Roman" w:hAnsi="Times New Roman" w:cs="Times New Roman"/>
          <w:sz w:val="24"/>
          <w:szCs w:val="24"/>
        </w:rPr>
        <w:t xml:space="preserve">, </w:t>
      </w:r>
      <w:r w:rsidRPr="00522792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5227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2792">
        <w:rPr>
          <w:rFonts w:ascii="Times New Roman" w:hAnsi="Times New Roman" w:cs="Times New Roman"/>
          <w:i/>
          <w:iCs/>
          <w:sz w:val="24"/>
          <w:szCs w:val="24"/>
          <w:lang w:val="en-US"/>
        </w:rPr>
        <w:t>maltophilia</w:t>
      </w:r>
      <w:r w:rsidRPr="0052279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2279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5227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2792">
        <w:rPr>
          <w:rFonts w:ascii="Times New Roman" w:hAnsi="Times New Roman" w:cs="Times New Roman"/>
          <w:i/>
          <w:iCs/>
          <w:sz w:val="24"/>
          <w:szCs w:val="24"/>
          <w:lang w:val="en-US"/>
        </w:rPr>
        <w:t>xylosoxidans</w:t>
      </w:r>
      <w:r w:rsidRPr="00522792">
        <w:rPr>
          <w:rFonts w:ascii="Times New Roman" w:hAnsi="Times New Roman" w:cs="Times New Roman"/>
          <w:sz w:val="24"/>
          <w:szCs w:val="24"/>
        </w:rPr>
        <w:t xml:space="preserve">, чем могло бы ожидаться у пациентов, не получавших лечения тобрамицином. Из мокроты пациентов, получавших тобрамицин, чаще высевались микроорганизмы вида </w:t>
      </w:r>
      <w:r w:rsidRPr="00522792">
        <w:rPr>
          <w:rFonts w:ascii="Times New Roman" w:hAnsi="Times New Roman" w:cs="Times New Roman"/>
          <w:i/>
          <w:sz w:val="24"/>
          <w:szCs w:val="24"/>
          <w:lang w:val="en-US"/>
        </w:rPr>
        <w:t>Aspergillus</w:t>
      </w:r>
      <w:r w:rsidRPr="00522792">
        <w:rPr>
          <w:rFonts w:ascii="Times New Roman" w:hAnsi="Times New Roman" w:cs="Times New Roman"/>
          <w:sz w:val="24"/>
          <w:szCs w:val="24"/>
        </w:rPr>
        <w:t>; однако клинические осложнения, такие как аллергический бронхолегочный аспергиллез, регистрировались редко и были сопоставимы по частоте с таковыми в контрольной группе.</w:t>
      </w:r>
    </w:p>
    <w:p w14:paraId="72D1E23B" w14:textId="25CA8546" w:rsidR="006200A5" w:rsidRPr="00454736" w:rsidRDefault="006200A5" w:rsidP="00EC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736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14:paraId="377D5BCE" w14:textId="37C47DC7" w:rsidR="00277A23" w:rsidRPr="00277A23" w:rsidRDefault="00277A23" w:rsidP="00EC4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клинических исследованиях, проведенных с тобрамицином, отсутствуют данные о применении препарата у </w:t>
      </w:r>
      <w:r w:rsidR="00F718FF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младше 6 лет.</w:t>
      </w:r>
    </w:p>
    <w:p w14:paraId="02FFA9A8" w14:textId="66A4927D" w:rsidR="005173EC" w:rsidRPr="000935D3" w:rsidRDefault="000935D3" w:rsidP="005173E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35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5.2. </w:t>
      </w:r>
      <w:r w:rsidR="005173EC" w:rsidRPr="000935D3">
        <w:rPr>
          <w:rFonts w:ascii="Times New Roman" w:hAnsi="Times New Roman" w:cs="Times New Roman"/>
          <w:b/>
          <w:bCs/>
          <w:iCs/>
          <w:sz w:val="24"/>
          <w:szCs w:val="24"/>
        </w:rPr>
        <w:t>Фармакокинети</w:t>
      </w:r>
      <w:r w:rsidRPr="000935D3">
        <w:rPr>
          <w:rFonts w:ascii="Times New Roman" w:hAnsi="Times New Roman" w:cs="Times New Roman"/>
          <w:b/>
          <w:bCs/>
          <w:iCs/>
          <w:sz w:val="24"/>
          <w:szCs w:val="24"/>
        </w:rPr>
        <w:t>ческие свойства</w:t>
      </w:r>
    </w:p>
    <w:p w14:paraId="251C4CDA" w14:textId="14D1289F" w:rsidR="005173EC" w:rsidRPr="00EC45F1" w:rsidRDefault="00277A23" w:rsidP="0051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Абсорбция и р</w:t>
      </w:r>
      <w:r w:rsidR="005173EC" w:rsidRPr="00EC45F1">
        <w:rPr>
          <w:rFonts w:ascii="Times New Roman" w:hAnsi="Times New Roman" w:cs="Times New Roman"/>
          <w:sz w:val="24"/>
          <w:szCs w:val="24"/>
          <w:u w:val="single"/>
        </w:rPr>
        <w:t>аспределение</w:t>
      </w:r>
    </w:p>
    <w:p w14:paraId="67B01CD7" w14:textId="76A54835" w:rsidR="00A20556" w:rsidRDefault="00EC45F1" w:rsidP="006200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После небулайзерного введения у 6 пациентов с муковисцидозом среднее значение абсолютной биодоступности составляло около 9,1</w:t>
      </w:r>
      <w:r w:rsidR="006200A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% от дозы. Системная абсорбция при ингаляции тобрамицина является очень низкой с незначительным поступлением ингалируемого тобрамицина в системный кровоток. Примерно 10</w:t>
      </w:r>
      <w:r w:rsidR="006200A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% массы тобрамицина, первоначально распыленного с помощью небулайзера, осаждается в легких, а остальные</w:t>
      </w:r>
      <w:r w:rsidRPr="00EC45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90</w:t>
      </w:r>
      <w:r w:rsidR="0034415A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% либо остаются в небулайзере, либо в ротоглотке и проглатываются, либо выдыхаются</w:t>
      </w:r>
      <w:r w:rsidRPr="006200A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54736">
        <w:rPr>
          <w:rFonts w:ascii="Times New Roman CYR" w:hAnsi="Times New Roman CYR" w:cs="Times New Roman CYR"/>
          <w:iCs/>
          <w:color w:val="000000"/>
          <w:sz w:val="24"/>
          <w:szCs w:val="24"/>
        </w:rPr>
        <w:t>в</w:t>
      </w:r>
      <w:r w:rsidRPr="006200A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окружающую среду.</w:t>
      </w:r>
    </w:p>
    <w:p w14:paraId="32B88E1F" w14:textId="77777777" w:rsidR="00EC45F1" w:rsidRDefault="00EC45F1" w:rsidP="00454736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Концентрация в мокроте </w:t>
      </w:r>
    </w:p>
    <w:p w14:paraId="6C9F8C2A" w14:textId="518B88EF" w:rsidR="00EC45F1" w:rsidRDefault="00EC45F1" w:rsidP="006200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Через десять минут после ингаляции первой дозы 300 мг тобрамицина, среднее значение концентрации тобрамицина в мокроте составляло 695,6 мкг/г (диапазон от 36 до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2638</w:t>
      </w:r>
      <w:r w:rsidR="0034415A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мкг/г). Тобрамицин не накапливается в мокроте; после 20 недель терапии тобрамицином по вышеуказанной схеме средняя концентрация тобрамицина в мокроте в течение 10 минут после ингаляции составляла 716,9 мкг/г (диапазон от 40 до 2530 мкг/г). </w:t>
      </w:r>
    </w:p>
    <w:p w14:paraId="738D713D" w14:textId="54024FBD" w:rsidR="00EC45F1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Наблюдалась высокая вариабельность концентраций тобрамицина в мокроте. Через 2 часа после ингаляции концентрация тобрамицина в мокроте снижалась приблизительно до 14</w:t>
      </w:r>
      <w:r w:rsidR="006200A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% от его концентрации, определяемой через 10 минут после ингаляции.</w:t>
      </w:r>
    </w:p>
    <w:p w14:paraId="29FC17D8" w14:textId="77777777" w:rsidR="006200A5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Концентрация в сыворотке крови </w:t>
      </w:r>
    </w:p>
    <w:p w14:paraId="5447B945" w14:textId="0135C0A0" w:rsidR="00EC45F1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Среднее значение сывороточной концентрации тобрамицина через 1 час после ингаляции одной дозы 300 мг тобрамицина у пациентов с муковисцидозом составляла 0,68 мкг/мл (диапазон: от 0,06 мкг/мл до 1,89 мкг/мл). После 20 недель терапии тобрамицином по вышеуказанной схеме среднее значение концентрации тобрамицина в сыворотке </w:t>
      </w:r>
      <w:r w:rsidR="00522792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рови</w:t>
      </w:r>
      <w:r w:rsidR="00F718F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через 1 час после введения тобрамицина составляло 1,05 мкг/мл (диапазон: от ниже предела количественного определения до 3,41 мкг/мл).</w:t>
      </w:r>
    </w:p>
    <w:p w14:paraId="5E9B6382" w14:textId="77777777" w:rsidR="00EC45F1" w:rsidRPr="00454736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454736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Элиминация</w:t>
      </w:r>
    </w:p>
    <w:p w14:paraId="0A454B18" w14:textId="77777777" w:rsidR="00EC45F1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Элиминация тобрамицина, вводимого с помощью ингаляции, не изучалась. </w:t>
      </w:r>
    </w:p>
    <w:p w14:paraId="4779A59B" w14:textId="1F5E9B88" w:rsidR="00EC45F1" w:rsidRDefault="00EC45F1" w:rsidP="001F6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Неабсорбированный тобрамицин после его ингаляции, по-видимому, выводится с откашливаемой мокротой.</w:t>
      </w:r>
    </w:p>
    <w:p w14:paraId="3AF8A1F6" w14:textId="77777777" w:rsidR="00EC45F1" w:rsidRPr="00EC45F1" w:rsidRDefault="00EC45F1" w:rsidP="00EC45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1BE23F2" w14:textId="5E57C1BB" w:rsidR="00C37AC9" w:rsidRPr="00AD57BC" w:rsidRDefault="00C37AC9" w:rsidP="00ED6583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48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D57BC">
        <w:rPr>
          <w:rFonts w:ascii="Times New Roman" w:hAnsi="Times New Roman" w:cs="Times New Roman"/>
          <w:b/>
          <w:color w:val="000000"/>
          <w:sz w:val="24"/>
          <w:szCs w:val="24"/>
        </w:rPr>
        <w:t>. ФАРМАЦЕВТИЧЕКИЕ СВОЙСТВА</w:t>
      </w:r>
    </w:p>
    <w:p w14:paraId="7E4BC1E0" w14:textId="77777777" w:rsidR="009069AA" w:rsidRPr="00AD57BC" w:rsidRDefault="009069AA" w:rsidP="00ED6583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7BC">
        <w:rPr>
          <w:rFonts w:ascii="Times New Roman" w:hAnsi="Times New Roman" w:cs="Times New Roman"/>
          <w:b/>
          <w:color w:val="000000"/>
          <w:sz w:val="24"/>
          <w:szCs w:val="24"/>
        </w:rPr>
        <w:t>6.1. Перечень вспомогательных веществ</w:t>
      </w:r>
    </w:p>
    <w:p w14:paraId="6B06634F" w14:textId="3CAD0A67" w:rsidR="003D5C49" w:rsidRDefault="004B6622" w:rsidP="008472AE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BC">
        <w:rPr>
          <w:rFonts w:ascii="Times New Roman" w:hAnsi="Times New Roman" w:cs="Times New Roman"/>
          <w:color w:val="000000"/>
          <w:sz w:val="24"/>
          <w:szCs w:val="24"/>
        </w:rPr>
        <w:t>натрия хлорид</w:t>
      </w:r>
    </w:p>
    <w:p w14:paraId="29A48560" w14:textId="5574E077" w:rsidR="00C61D85" w:rsidRDefault="00C61D85" w:rsidP="008472AE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н. </w:t>
      </w:r>
      <w:r w:rsidR="00AD57BC" w:rsidRPr="00AD57BC">
        <w:rPr>
          <w:rFonts w:ascii="Times New Roman" w:hAnsi="Times New Roman" w:cs="Times New Roman"/>
          <w:color w:val="000000"/>
          <w:sz w:val="24"/>
          <w:szCs w:val="24"/>
        </w:rPr>
        <w:t xml:space="preserve">раствор серной кислоты </w:t>
      </w:r>
      <w:r>
        <w:rPr>
          <w:rFonts w:ascii="Times New Roman" w:hAnsi="Times New Roman" w:cs="Times New Roman"/>
          <w:color w:val="000000"/>
          <w:sz w:val="24"/>
          <w:szCs w:val="24"/>
        </w:rPr>
        <w:t>(для коррекции рН)</w:t>
      </w:r>
    </w:p>
    <w:p w14:paraId="6B76E942" w14:textId="77777777" w:rsidR="00C61D85" w:rsidRDefault="00AD57BC" w:rsidP="008472AE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BC">
        <w:rPr>
          <w:rFonts w:ascii="Times New Roman" w:hAnsi="Times New Roman" w:cs="Times New Roman"/>
          <w:color w:val="000000"/>
          <w:sz w:val="24"/>
          <w:szCs w:val="24"/>
        </w:rPr>
        <w:t xml:space="preserve">и/или </w:t>
      </w:r>
    </w:p>
    <w:p w14:paraId="3A14C24A" w14:textId="1C4DDBBB" w:rsidR="003D5C49" w:rsidRDefault="00AD57BC" w:rsidP="008472AE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BC">
        <w:rPr>
          <w:rFonts w:ascii="Times New Roman" w:hAnsi="Times New Roman" w:cs="Times New Roman"/>
          <w:color w:val="000000"/>
          <w:sz w:val="24"/>
          <w:szCs w:val="24"/>
        </w:rPr>
        <w:t>1 М</w:t>
      </w:r>
      <w:r w:rsidR="00C61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7BC">
        <w:rPr>
          <w:rFonts w:ascii="Times New Roman" w:hAnsi="Times New Roman" w:cs="Times New Roman"/>
          <w:color w:val="000000"/>
          <w:sz w:val="24"/>
          <w:szCs w:val="24"/>
        </w:rPr>
        <w:t xml:space="preserve">раствор натрия гидроксида </w:t>
      </w:r>
      <w:r w:rsidR="003D5C49">
        <w:rPr>
          <w:rFonts w:ascii="Times New Roman" w:hAnsi="Times New Roman" w:cs="Times New Roman"/>
          <w:color w:val="000000"/>
          <w:sz w:val="24"/>
          <w:szCs w:val="24"/>
        </w:rPr>
        <w:t xml:space="preserve">(для коррекции </w:t>
      </w:r>
      <w:r w:rsidRPr="00AD57BC">
        <w:rPr>
          <w:rFonts w:ascii="Times New Roman" w:hAnsi="Times New Roman" w:cs="Times New Roman"/>
          <w:color w:val="000000"/>
          <w:sz w:val="24"/>
          <w:szCs w:val="24"/>
        </w:rPr>
        <w:t xml:space="preserve"> рН</w:t>
      </w:r>
      <w:r w:rsidR="003D5C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622" w:rsidRPr="00AD5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018AE7" w14:textId="71F34A21" w:rsidR="004B6622" w:rsidRDefault="004B6622" w:rsidP="008472AE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BC">
        <w:rPr>
          <w:rFonts w:ascii="Times New Roman" w:hAnsi="Times New Roman" w:cs="Times New Roman"/>
          <w:color w:val="000000"/>
          <w:sz w:val="24"/>
          <w:szCs w:val="24"/>
        </w:rPr>
        <w:t>вода для инъекций</w:t>
      </w:r>
    </w:p>
    <w:p w14:paraId="790D6EDD" w14:textId="623F71E7" w:rsidR="00D66065" w:rsidRPr="008472AE" w:rsidRDefault="00D66065" w:rsidP="008472AE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2AE">
        <w:rPr>
          <w:rFonts w:ascii="Times New Roman" w:hAnsi="Times New Roman" w:cs="Times New Roman"/>
          <w:b/>
          <w:color w:val="000000"/>
          <w:sz w:val="24"/>
          <w:szCs w:val="24"/>
        </w:rPr>
        <w:t>6.2. Несовместимость</w:t>
      </w:r>
    </w:p>
    <w:p w14:paraId="462258C6" w14:textId="528C5128" w:rsidR="00536966" w:rsidRDefault="003D5C49" w:rsidP="00536966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исследований совместимости, данный лекарственный препарат не следует смешивать с другими лекарственными препаратами в небулайзере.</w:t>
      </w:r>
    </w:p>
    <w:p w14:paraId="085DD221" w14:textId="042DC88D" w:rsidR="009069AA" w:rsidRPr="00AD548C" w:rsidRDefault="00E110F9" w:rsidP="00ED6583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48C">
        <w:rPr>
          <w:rFonts w:ascii="Times New Roman" w:hAnsi="Times New Roman" w:cs="Times New Roman"/>
          <w:b/>
          <w:sz w:val="24"/>
          <w:szCs w:val="24"/>
        </w:rPr>
        <w:t>6.3. Срок годности</w:t>
      </w:r>
      <w:r w:rsidR="004E777D" w:rsidRPr="00AD548C">
        <w:rPr>
          <w:rFonts w:ascii="Times New Roman" w:hAnsi="Times New Roman" w:cs="Times New Roman"/>
          <w:b/>
          <w:sz w:val="24"/>
          <w:szCs w:val="24"/>
        </w:rPr>
        <w:t xml:space="preserve"> (срок хранения)</w:t>
      </w:r>
    </w:p>
    <w:p w14:paraId="72FEF223" w14:textId="35CC22C2" w:rsidR="00EA46C7" w:rsidRPr="00EA46C7" w:rsidRDefault="004B6622" w:rsidP="00ED6583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6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46C7" w:rsidRPr="004B662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61D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0741EC" w14:textId="369FCA95" w:rsidR="00E110F9" w:rsidRPr="00AD548C" w:rsidRDefault="00E110F9" w:rsidP="00ED6583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48C">
        <w:rPr>
          <w:rFonts w:ascii="Times New Roman" w:hAnsi="Times New Roman" w:cs="Times New Roman"/>
          <w:b/>
          <w:sz w:val="24"/>
          <w:szCs w:val="24"/>
        </w:rPr>
        <w:t>6.4. Особые меры предосторожности при хранении</w:t>
      </w:r>
    </w:p>
    <w:p w14:paraId="68437EC9" w14:textId="77777777" w:rsidR="00236DA2" w:rsidRPr="00236DA2" w:rsidRDefault="00236DA2" w:rsidP="00236DA2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36DA2">
        <w:rPr>
          <w:rFonts w:ascii="Times New Roman CYR" w:hAnsi="Times New Roman CYR" w:cs="Times New Roman CYR"/>
          <w:color w:val="000000"/>
          <w:sz w:val="24"/>
          <w:szCs w:val="24"/>
        </w:rPr>
        <w:t>Хранить в холодильнике (2-8 °С) в оригинальной упаковке (флакон в пачке) для того, чтобы защитить от света.</w:t>
      </w:r>
    </w:p>
    <w:p w14:paraId="079EB794" w14:textId="2C655D34" w:rsidR="00C37AC9" w:rsidRDefault="00E110F9" w:rsidP="004B6622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93">
        <w:rPr>
          <w:rFonts w:ascii="Times New Roman" w:hAnsi="Times New Roman" w:cs="Times New Roman"/>
          <w:b/>
          <w:sz w:val="24"/>
          <w:szCs w:val="24"/>
        </w:rPr>
        <w:t>6.5. Характер и содержание первичной упаковки</w:t>
      </w:r>
    </w:p>
    <w:p w14:paraId="18CE23EA" w14:textId="77777777" w:rsidR="00703771" w:rsidRPr="00703771" w:rsidRDefault="00703771" w:rsidP="00703771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771">
        <w:rPr>
          <w:rFonts w:ascii="Times New Roman" w:hAnsi="Times New Roman" w:cs="Times New Roman"/>
          <w:i/>
          <w:sz w:val="24"/>
          <w:szCs w:val="24"/>
        </w:rPr>
        <w:t>Первичная упаковка лекарственного препарата.</w:t>
      </w:r>
    </w:p>
    <w:p w14:paraId="3744750A" w14:textId="77777777" w:rsidR="00703771" w:rsidRPr="00703771" w:rsidRDefault="00703771" w:rsidP="00703771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771">
        <w:rPr>
          <w:rFonts w:ascii="Times New Roman" w:hAnsi="Times New Roman" w:cs="Times New Roman"/>
          <w:sz w:val="24"/>
          <w:szCs w:val="24"/>
        </w:rPr>
        <w:lastRenderedPageBreak/>
        <w:t xml:space="preserve">По 4 мл препарата в стеклянные флаконы из темного нейтрального стекла типа </w:t>
      </w:r>
      <w:r w:rsidRPr="007037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3771">
        <w:rPr>
          <w:rFonts w:ascii="Times New Roman" w:hAnsi="Times New Roman" w:cs="Times New Roman"/>
          <w:sz w:val="24"/>
          <w:szCs w:val="24"/>
        </w:rPr>
        <w:t xml:space="preserve"> гидролитического класса, герметично укупоренные бромбутиловыми пробками и обжатые алюминиевыми колпачками с предохранительными пластмассовыми крышечками.</w:t>
      </w:r>
    </w:p>
    <w:p w14:paraId="4BA07AA3" w14:textId="77777777" w:rsidR="00703771" w:rsidRPr="00703771" w:rsidRDefault="00703771" w:rsidP="00703771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771">
        <w:rPr>
          <w:rFonts w:ascii="Times New Roman" w:hAnsi="Times New Roman" w:cs="Times New Roman"/>
          <w:i/>
          <w:sz w:val="24"/>
          <w:szCs w:val="24"/>
        </w:rPr>
        <w:t>Вторичная упаковка лекарственного препарата.</w:t>
      </w:r>
    </w:p>
    <w:p w14:paraId="668D9395" w14:textId="32798DFE" w:rsidR="00703771" w:rsidRPr="00703771" w:rsidRDefault="00703771" w:rsidP="00703771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771">
        <w:rPr>
          <w:rFonts w:ascii="Times New Roman" w:hAnsi="Times New Roman" w:cs="Times New Roman"/>
          <w:sz w:val="24"/>
          <w:szCs w:val="24"/>
        </w:rPr>
        <w:t>По 1, 7, 8, 14, 28, 56 флаконов с препаратом и вместе с листком-вкладышем помещают в пачку (с перегородками или без) из картона. Пачки помещают в групповую упаковку.</w:t>
      </w:r>
    </w:p>
    <w:p w14:paraId="00133B8B" w14:textId="1C5F0683" w:rsidR="00A20556" w:rsidRDefault="00790335" w:rsidP="001F6354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48C">
        <w:rPr>
          <w:rFonts w:ascii="Times New Roman" w:hAnsi="Times New Roman" w:cs="Times New Roman"/>
          <w:b/>
          <w:sz w:val="24"/>
          <w:szCs w:val="24"/>
        </w:rPr>
        <w:t>6.6. Особые меры предосторожности при уничтожении использованного препарата или отходов, полученных п</w:t>
      </w:r>
      <w:r w:rsidR="00C466BD">
        <w:rPr>
          <w:rFonts w:ascii="Times New Roman" w:hAnsi="Times New Roman" w:cs="Times New Roman"/>
          <w:b/>
          <w:sz w:val="24"/>
          <w:szCs w:val="24"/>
        </w:rPr>
        <w:t>осле</w:t>
      </w:r>
      <w:r w:rsidR="00703771">
        <w:rPr>
          <w:rFonts w:ascii="Times New Roman" w:hAnsi="Times New Roman" w:cs="Times New Roman"/>
          <w:b/>
          <w:sz w:val="24"/>
          <w:szCs w:val="24"/>
        </w:rPr>
        <w:t xml:space="preserve"> применения</w:t>
      </w:r>
      <w:r w:rsidRPr="00AD548C">
        <w:rPr>
          <w:rFonts w:ascii="Times New Roman" w:hAnsi="Times New Roman" w:cs="Times New Roman"/>
          <w:b/>
          <w:sz w:val="24"/>
          <w:szCs w:val="24"/>
        </w:rPr>
        <w:t xml:space="preserve"> лекарственного препарата </w:t>
      </w:r>
      <w:r w:rsidR="003D5C49">
        <w:rPr>
          <w:rFonts w:ascii="Times New Roman" w:hAnsi="Times New Roman" w:cs="Times New Roman"/>
          <w:b/>
          <w:sz w:val="24"/>
          <w:szCs w:val="24"/>
        </w:rPr>
        <w:t>и другие манипуляции с препаратом</w:t>
      </w:r>
    </w:p>
    <w:p w14:paraId="24DBD785" w14:textId="62B062BC" w:rsidR="003D5C49" w:rsidRDefault="003D5C49" w:rsidP="001F6354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Поскольку препарат не содержит консервантов, его следует использовать сразу после </w:t>
      </w:r>
      <w:r w:rsidR="003155DA">
        <w:rPr>
          <w:rFonts w:ascii="Times New Roman" w:hAnsi="Times New Roman" w:cs="Times New Roman"/>
          <w:bCs/>
          <w:sz w:val="24"/>
          <w:szCs w:val="24"/>
        </w:rPr>
        <w:t>вскрытия стерильного флакона. Любое количество неиспользованного раствора, сразу должно быть утилизировано и не сохраняться для последующего применения.</w:t>
      </w:r>
    </w:p>
    <w:p w14:paraId="677CB94B" w14:textId="77777777" w:rsidR="003155DA" w:rsidRPr="003155DA" w:rsidRDefault="003155DA" w:rsidP="003155DA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5DA">
        <w:rPr>
          <w:rFonts w:ascii="Times New Roman" w:hAnsi="Times New Roman" w:cs="Times New Roman"/>
          <w:bCs/>
          <w:sz w:val="24"/>
          <w:szCs w:val="24"/>
        </w:rPr>
        <w:t xml:space="preserve">Применение препарата </w:t>
      </w:r>
      <w:bookmarkStart w:id="6" w:name="_Hlk116566528"/>
      <w:r w:rsidRPr="003155DA">
        <w:rPr>
          <w:rFonts w:ascii="Times New Roman" w:hAnsi="Times New Roman" w:cs="Times New Roman"/>
          <w:bCs/>
          <w:sz w:val="24"/>
          <w:szCs w:val="24"/>
        </w:rPr>
        <w:t xml:space="preserve">ТОБРАМИЦИН Фармасинтез </w:t>
      </w:r>
      <w:bookmarkEnd w:id="6"/>
      <w:r w:rsidRPr="003155DA">
        <w:rPr>
          <w:rFonts w:ascii="Times New Roman" w:hAnsi="Times New Roman" w:cs="Times New Roman"/>
          <w:bCs/>
          <w:sz w:val="24"/>
          <w:szCs w:val="24"/>
        </w:rPr>
        <w:t>следует проводить с соблюдением общепринятых гигиенических стандартов. Небулайзер должен использоваться только одним пациентом и быть чистым и исправным. Его необходимо регулярно очищать и дезинфицировать. Информацию по очищению и дезинфекции небулайзера см. инструкцию по использованию, прилагаемую к небулайзеру.</w:t>
      </w:r>
    </w:p>
    <w:p w14:paraId="23C8C00F" w14:textId="77777777" w:rsidR="003155DA" w:rsidRPr="00454736" w:rsidRDefault="003155DA" w:rsidP="001F6354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276F06" w14:textId="2C86ADE4" w:rsidR="00790335" w:rsidRPr="001221A5" w:rsidRDefault="00C37AC9" w:rsidP="007D6198">
      <w:pPr>
        <w:tabs>
          <w:tab w:val="left" w:pos="6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1A5">
        <w:rPr>
          <w:rFonts w:ascii="Times New Roman" w:hAnsi="Times New Roman" w:cs="Times New Roman"/>
          <w:b/>
          <w:sz w:val="24"/>
          <w:szCs w:val="24"/>
        </w:rPr>
        <w:t>7. ДЕРЖАТЕЛЬ РЕГИСТРАЦИОННОГО УДОСТОВЕРЕНИЯ</w:t>
      </w:r>
    </w:p>
    <w:p w14:paraId="45A24481" w14:textId="77777777" w:rsidR="001221A5" w:rsidRPr="001221A5" w:rsidRDefault="001221A5" w:rsidP="001221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Российская Федерация</w:t>
      </w:r>
    </w:p>
    <w:p w14:paraId="7D2AF37C" w14:textId="77777777" w:rsidR="001221A5" w:rsidRPr="001221A5" w:rsidRDefault="001221A5" w:rsidP="001221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 «Фармасинтез»</w:t>
      </w:r>
    </w:p>
    <w:p w14:paraId="73CBC817" w14:textId="6B1131E0" w:rsidR="001221A5" w:rsidRPr="001221A5" w:rsidRDefault="001221A5" w:rsidP="001221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Юридический адрес: 664007, Иркутская обл., г. Иркутск, ул.</w:t>
      </w: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Красногвардейская, д. 23, офис</w:t>
      </w:r>
      <w:r w:rsidR="006134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</w:p>
    <w:p w14:paraId="76483659" w14:textId="77777777" w:rsidR="001221A5" w:rsidRPr="001221A5" w:rsidRDefault="001221A5" w:rsidP="001221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bookmarkStart w:id="7" w:name="_Hlk66715179"/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+7</w:t>
      </w:r>
      <w:bookmarkEnd w:id="7"/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(3952) 55-03-55</w:t>
      </w:r>
    </w:p>
    <w:p w14:paraId="08B2F878" w14:textId="0E080DF8" w:rsidR="001221A5" w:rsidRPr="001221A5" w:rsidRDefault="001221A5" w:rsidP="001221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_Hlk66715251"/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info@pharmasyntez.com</w:t>
      </w:r>
      <w:bookmarkEnd w:id="8"/>
    </w:p>
    <w:p w14:paraId="093632F0" w14:textId="3F1F31F8" w:rsidR="009C6AF5" w:rsidRPr="001221A5" w:rsidRDefault="009C6AF5" w:rsidP="00A169C7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1A5">
        <w:rPr>
          <w:rFonts w:ascii="Times New Roman" w:hAnsi="Times New Roman" w:cs="Times New Roman"/>
          <w:b/>
          <w:sz w:val="24"/>
          <w:szCs w:val="24"/>
        </w:rPr>
        <w:t>7.1. Представитель держателя регистрационного удостоверения</w:t>
      </w:r>
    </w:p>
    <w:p w14:paraId="3167F2E1" w14:textId="77777777" w:rsidR="001221A5" w:rsidRPr="001221A5" w:rsidRDefault="001221A5" w:rsidP="00A169C7">
      <w:pPr>
        <w:spacing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Претензии потребителей направлять по адресу: </w:t>
      </w:r>
      <w:r w:rsidRPr="001221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br/>
        <w:t>Российская Федерация</w:t>
      </w:r>
    </w:p>
    <w:p w14:paraId="7BDD629F" w14:textId="77777777" w:rsidR="001221A5" w:rsidRPr="00B8644E" w:rsidRDefault="001221A5" w:rsidP="001221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 «Фармасинтез»</w:t>
      </w:r>
    </w:p>
    <w:p w14:paraId="771D7980" w14:textId="77777777" w:rsidR="001221A5" w:rsidRPr="00B8644E" w:rsidRDefault="001221A5" w:rsidP="001221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Иркутск, ул. Р. Люксембург, д. 184</w:t>
      </w:r>
    </w:p>
    <w:p w14:paraId="40CB1A90" w14:textId="77777777" w:rsidR="001221A5" w:rsidRPr="00B8644E" w:rsidRDefault="001221A5" w:rsidP="001221A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B86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Тел: 8-800-100-15-50</w:t>
      </w:r>
    </w:p>
    <w:p w14:paraId="365D6847" w14:textId="25F43B0A" w:rsidR="00A20556" w:rsidRPr="001F6354" w:rsidRDefault="001221A5" w:rsidP="001F635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</w:t>
      </w:r>
      <w:r w:rsidRPr="00B8644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hyperlink r:id="rId11" w:history="1">
        <w:r w:rsidRPr="00B8644E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info@pharmasyntez.com</w:t>
        </w:r>
      </w:hyperlink>
    </w:p>
    <w:p w14:paraId="37A1EC39" w14:textId="77777777" w:rsidR="00FF42A7" w:rsidRDefault="00FF42A7" w:rsidP="007D6198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6E7EF" w14:textId="539C8B89" w:rsidR="00C37AC9" w:rsidRPr="00BB36B5" w:rsidRDefault="00C37AC9" w:rsidP="007D6198">
      <w:pPr>
        <w:tabs>
          <w:tab w:val="left" w:pos="61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B5">
        <w:rPr>
          <w:rFonts w:ascii="Times New Roman" w:hAnsi="Times New Roman" w:cs="Times New Roman"/>
          <w:b/>
          <w:sz w:val="24"/>
          <w:szCs w:val="24"/>
        </w:rPr>
        <w:t>8. НОМЕР РЕГИСТРАЦИОННОГО УДОСТОВЕРЕНИЯ</w:t>
      </w:r>
    </w:p>
    <w:p w14:paraId="2D00E206" w14:textId="77777777" w:rsidR="00A20556" w:rsidRDefault="00A20556" w:rsidP="007D61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CA2B4" w14:textId="387649FB" w:rsidR="00C37AC9" w:rsidRDefault="00406B0F" w:rsidP="007D61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B5">
        <w:rPr>
          <w:rFonts w:ascii="Times New Roman" w:hAnsi="Times New Roman" w:cs="Times New Roman"/>
          <w:b/>
          <w:sz w:val="24"/>
          <w:szCs w:val="24"/>
        </w:rPr>
        <w:lastRenderedPageBreak/>
        <w:t>9. ДАТА ПЕРВИЧНОЙ РЕГИСТРАЦИИ (</w:t>
      </w:r>
      <w:r w:rsidR="00C37AC9" w:rsidRPr="00BB36B5">
        <w:rPr>
          <w:rFonts w:ascii="Times New Roman" w:hAnsi="Times New Roman" w:cs="Times New Roman"/>
          <w:b/>
          <w:sz w:val="24"/>
          <w:szCs w:val="24"/>
        </w:rPr>
        <w:t>ПОДТВЕРЖДЕНИЯ РЕГИСТРАЦИИ</w:t>
      </w:r>
      <w:r w:rsidRPr="00BB36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7AC9" w:rsidRPr="00BB36B5">
        <w:rPr>
          <w:rFonts w:ascii="Times New Roman" w:hAnsi="Times New Roman" w:cs="Times New Roman"/>
          <w:b/>
          <w:sz w:val="24"/>
          <w:szCs w:val="24"/>
        </w:rPr>
        <w:t>ПЕРЕРЕГИСТРАЦИИ)</w:t>
      </w:r>
    </w:p>
    <w:p w14:paraId="12B35387" w14:textId="2589C660" w:rsidR="00A20556" w:rsidRPr="001F6354" w:rsidRDefault="00D67161" w:rsidP="007D619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23D">
        <w:rPr>
          <w:rFonts w:ascii="Times New Roman" w:hAnsi="Times New Roman" w:cs="Times New Roman"/>
          <w:bCs/>
          <w:sz w:val="24"/>
          <w:szCs w:val="24"/>
        </w:rPr>
        <w:t>Дата перв</w:t>
      </w:r>
      <w:r w:rsidR="00FC0036">
        <w:rPr>
          <w:rFonts w:ascii="Times New Roman" w:hAnsi="Times New Roman" w:cs="Times New Roman"/>
          <w:bCs/>
          <w:sz w:val="24"/>
          <w:szCs w:val="24"/>
        </w:rPr>
        <w:t>ой</w:t>
      </w:r>
      <w:r w:rsidRPr="00F6023D">
        <w:rPr>
          <w:rFonts w:ascii="Times New Roman" w:hAnsi="Times New Roman" w:cs="Times New Roman"/>
          <w:bCs/>
          <w:sz w:val="24"/>
          <w:szCs w:val="24"/>
        </w:rPr>
        <w:t xml:space="preserve"> регистрации:</w:t>
      </w:r>
      <w:r w:rsidRPr="00D671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548832" w14:textId="77777777" w:rsidR="00FF42A7" w:rsidRDefault="00FF42A7" w:rsidP="007D61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02496" w14:textId="32ED7955" w:rsidR="00790335" w:rsidRPr="00BB36B5" w:rsidRDefault="00C37AC9" w:rsidP="007D61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6B5">
        <w:rPr>
          <w:rFonts w:ascii="Times New Roman" w:hAnsi="Times New Roman" w:cs="Times New Roman"/>
          <w:b/>
          <w:sz w:val="24"/>
          <w:szCs w:val="24"/>
        </w:rPr>
        <w:t>10. ДАТА ПЕРЕСМОТРА ТЕКСТА</w:t>
      </w:r>
    </w:p>
    <w:p w14:paraId="1D154F80" w14:textId="51628DA0" w:rsidR="003155DA" w:rsidRDefault="003155DA" w:rsidP="003155D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E00266" w14:textId="77777777" w:rsidR="00FF42A7" w:rsidRDefault="00FF42A7" w:rsidP="003155D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50F063" w14:textId="3B3F9E81" w:rsidR="003155DA" w:rsidRPr="008F1C11" w:rsidRDefault="003155DA" w:rsidP="003155D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33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Общая характеристика лекарственного препарата </w:t>
      </w:r>
      <w:r w:rsidRPr="003155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ТОБРАМИЦИН Фармасинтез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33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доступна на информационном портале Евразийского экономического союза в информационно-коммуникационной сети «Интернет» </w:t>
      </w:r>
      <w:hyperlink r:id="rId12" w:history="1">
        <w:r w:rsidR="00FF42A7" w:rsidRPr="00FF42A7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FF42A7" w:rsidRPr="00FF42A7">
          <w:rPr>
            <w:rStyle w:val="af1"/>
            <w:rFonts w:ascii="Times New Roman" w:hAnsi="Times New Roman" w:cs="Times New Roman"/>
            <w:bCs/>
            <w:sz w:val="24"/>
            <w:szCs w:val="24"/>
          </w:rPr>
          <w:t>://</w:t>
        </w:r>
        <w:r w:rsidR="00FF42A7" w:rsidRPr="00FF42A7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eec</w:t>
        </w:r>
        <w:r w:rsidR="00FF42A7" w:rsidRPr="00FF42A7"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r w:rsidR="00FF42A7" w:rsidRPr="00FF42A7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eaeunion</w:t>
        </w:r>
        <w:r w:rsidR="00FF42A7" w:rsidRPr="00FF42A7">
          <w:rPr>
            <w:rStyle w:val="af1"/>
            <w:rFonts w:ascii="Times New Roman" w:hAnsi="Times New Roman" w:cs="Times New Roman"/>
            <w:bCs/>
            <w:sz w:val="24"/>
            <w:szCs w:val="24"/>
          </w:rPr>
          <w:t>.</w:t>
        </w:r>
        <w:r w:rsidR="00FF42A7" w:rsidRPr="00FF42A7">
          <w:rPr>
            <w:rStyle w:val="af1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="00FF42A7" w:rsidRPr="00B21ED8">
          <w:rPr>
            <w:rStyle w:val="af1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FF4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4AA2BBF" w14:textId="2962BBB9" w:rsidR="000151EA" w:rsidRPr="005B3566" w:rsidRDefault="000151EA" w:rsidP="007D6198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0151EA" w:rsidRPr="005B3566" w:rsidSect="000B343D">
      <w:footerReference w:type="default" r:id="rId13"/>
      <w:pgSz w:w="11906" w:h="16838"/>
      <w:pgMar w:top="1134" w:right="851" w:bottom="1134" w:left="170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1758" w14:textId="77777777" w:rsidR="00454736" w:rsidRDefault="00454736" w:rsidP="00A83CE7">
      <w:pPr>
        <w:spacing w:after="0" w:line="240" w:lineRule="auto"/>
      </w:pPr>
      <w:r>
        <w:separator/>
      </w:r>
    </w:p>
  </w:endnote>
  <w:endnote w:type="continuationSeparator" w:id="0">
    <w:p w14:paraId="11825EA9" w14:textId="77777777" w:rsidR="00454736" w:rsidRDefault="00454736" w:rsidP="00A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POC L+ Helio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09420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DA1E2BA" w14:textId="59DC3712" w:rsidR="00454736" w:rsidRPr="000B343D" w:rsidRDefault="00454736">
        <w:pPr>
          <w:pStyle w:val="af7"/>
          <w:jc w:val="center"/>
          <w:rPr>
            <w:sz w:val="22"/>
            <w:szCs w:val="22"/>
          </w:rPr>
        </w:pPr>
        <w:r w:rsidRPr="000B343D">
          <w:rPr>
            <w:sz w:val="22"/>
            <w:szCs w:val="22"/>
          </w:rPr>
          <w:fldChar w:fldCharType="begin"/>
        </w:r>
        <w:r w:rsidRPr="000B343D">
          <w:rPr>
            <w:sz w:val="22"/>
            <w:szCs w:val="22"/>
          </w:rPr>
          <w:instrText>PAGE   \* MERGEFORMAT</w:instrText>
        </w:r>
        <w:r w:rsidRPr="000B343D">
          <w:rPr>
            <w:sz w:val="22"/>
            <w:szCs w:val="22"/>
          </w:rPr>
          <w:fldChar w:fldCharType="separate"/>
        </w:r>
        <w:r w:rsidR="003E6631" w:rsidRPr="003E6631">
          <w:rPr>
            <w:noProof/>
            <w:sz w:val="22"/>
            <w:szCs w:val="22"/>
            <w:lang w:val="ru-RU"/>
          </w:rPr>
          <w:t>17</w:t>
        </w:r>
        <w:r w:rsidRPr="000B343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D1A9" w14:textId="77777777" w:rsidR="00454736" w:rsidRDefault="00454736" w:rsidP="00A83CE7">
      <w:pPr>
        <w:spacing w:after="0" w:line="240" w:lineRule="auto"/>
      </w:pPr>
      <w:r>
        <w:separator/>
      </w:r>
    </w:p>
  </w:footnote>
  <w:footnote w:type="continuationSeparator" w:id="0">
    <w:p w14:paraId="43882DA4" w14:textId="77777777" w:rsidR="00454736" w:rsidRDefault="00454736" w:rsidP="00A8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6B5"/>
    <w:multiLevelType w:val="hybridMultilevel"/>
    <w:tmpl w:val="D716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7A61"/>
    <w:multiLevelType w:val="hybridMultilevel"/>
    <w:tmpl w:val="09BC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585"/>
    <w:multiLevelType w:val="hybridMultilevel"/>
    <w:tmpl w:val="0B4840C8"/>
    <w:lvl w:ilvl="0" w:tplc="4648C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4E1E"/>
    <w:multiLevelType w:val="hybridMultilevel"/>
    <w:tmpl w:val="539AD04E"/>
    <w:lvl w:ilvl="0" w:tplc="25F6B39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5FC5"/>
    <w:multiLevelType w:val="hybridMultilevel"/>
    <w:tmpl w:val="87FA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798B"/>
    <w:multiLevelType w:val="hybridMultilevel"/>
    <w:tmpl w:val="77A4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800"/>
    <w:multiLevelType w:val="hybridMultilevel"/>
    <w:tmpl w:val="2ACE8014"/>
    <w:lvl w:ilvl="0" w:tplc="068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4D0"/>
    <w:multiLevelType w:val="hybridMultilevel"/>
    <w:tmpl w:val="BDF4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33D3"/>
    <w:multiLevelType w:val="hybridMultilevel"/>
    <w:tmpl w:val="C756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4C2"/>
    <w:multiLevelType w:val="hybridMultilevel"/>
    <w:tmpl w:val="7EC8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662"/>
    <w:multiLevelType w:val="hybridMultilevel"/>
    <w:tmpl w:val="E4228B68"/>
    <w:lvl w:ilvl="0" w:tplc="654C9D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83B61"/>
    <w:multiLevelType w:val="hybridMultilevel"/>
    <w:tmpl w:val="7B88B578"/>
    <w:lvl w:ilvl="0" w:tplc="4EF8D5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54FCC"/>
    <w:multiLevelType w:val="hybridMultilevel"/>
    <w:tmpl w:val="D9261FD6"/>
    <w:lvl w:ilvl="0" w:tplc="A2FC3BF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2DA7"/>
    <w:multiLevelType w:val="hybridMultilevel"/>
    <w:tmpl w:val="3CBE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47D7"/>
    <w:multiLevelType w:val="hybridMultilevel"/>
    <w:tmpl w:val="A22E611C"/>
    <w:lvl w:ilvl="0" w:tplc="4648C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823F4"/>
    <w:multiLevelType w:val="hybridMultilevel"/>
    <w:tmpl w:val="FB42C11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09C302B"/>
    <w:multiLevelType w:val="hybridMultilevel"/>
    <w:tmpl w:val="2DB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019E"/>
    <w:multiLevelType w:val="hybridMultilevel"/>
    <w:tmpl w:val="D866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006B"/>
    <w:multiLevelType w:val="hybridMultilevel"/>
    <w:tmpl w:val="82E06EB0"/>
    <w:lvl w:ilvl="0" w:tplc="D4986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73A06"/>
    <w:multiLevelType w:val="hybridMultilevel"/>
    <w:tmpl w:val="74E0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F5608"/>
    <w:multiLevelType w:val="hybridMultilevel"/>
    <w:tmpl w:val="90B2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43C8D"/>
    <w:multiLevelType w:val="hybridMultilevel"/>
    <w:tmpl w:val="4A4A8626"/>
    <w:lvl w:ilvl="0" w:tplc="CF081D3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562CD"/>
    <w:multiLevelType w:val="hybridMultilevel"/>
    <w:tmpl w:val="3AA2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F0BFF"/>
    <w:multiLevelType w:val="hybridMultilevel"/>
    <w:tmpl w:val="4A1456F4"/>
    <w:lvl w:ilvl="0" w:tplc="DBC22EF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10A81"/>
    <w:multiLevelType w:val="hybridMultilevel"/>
    <w:tmpl w:val="EEFCE268"/>
    <w:lvl w:ilvl="0" w:tplc="4D400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42256"/>
    <w:multiLevelType w:val="hybridMultilevel"/>
    <w:tmpl w:val="4BBE2AC4"/>
    <w:lvl w:ilvl="0" w:tplc="D49860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318F2"/>
    <w:multiLevelType w:val="multilevel"/>
    <w:tmpl w:val="426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A533B"/>
    <w:multiLevelType w:val="hybridMultilevel"/>
    <w:tmpl w:val="C98812F4"/>
    <w:lvl w:ilvl="0" w:tplc="33B63D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6719E"/>
    <w:multiLevelType w:val="hybridMultilevel"/>
    <w:tmpl w:val="3E0A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2532">
    <w:abstractNumId w:val="1"/>
  </w:num>
  <w:num w:numId="2" w16cid:durableId="706763292">
    <w:abstractNumId w:val="24"/>
  </w:num>
  <w:num w:numId="3" w16cid:durableId="1929728833">
    <w:abstractNumId w:val="17"/>
  </w:num>
  <w:num w:numId="4" w16cid:durableId="1438404866">
    <w:abstractNumId w:val="6"/>
  </w:num>
  <w:num w:numId="5" w16cid:durableId="855384381">
    <w:abstractNumId w:val="25"/>
  </w:num>
  <w:num w:numId="6" w16cid:durableId="1495873429">
    <w:abstractNumId w:val="20"/>
  </w:num>
  <w:num w:numId="7" w16cid:durableId="1179923941">
    <w:abstractNumId w:val="19"/>
  </w:num>
  <w:num w:numId="8" w16cid:durableId="382870224">
    <w:abstractNumId w:val="18"/>
  </w:num>
  <w:num w:numId="9" w16cid:durableId="2144423492">
    <w:abstractNumId w:val="9"/>
  </w:num>
  <w:num w:numId="10" w16cid:durableId="1684161068">
    <w:abstractNumId w:val="27"/>
  </w:num>
  <w:num w:numId="11" w16cid:durableId="1820343885">
    <w:abstractNumId w:val="14"/>
  </w:num>
  <w:num w:numId="12" w16cid:durableId="1437284519">
    <w:abstractNumId w:val="11"/>
  </w:num>
  <w:num w:numId="13" w16cid:durableId="1891070149">
    <w:abstractNumId w:val="2"/>
  </w:num>
  <w:num w:numId="14" w16cid:durableId="1040783274">
    <w:abstractNumId w:val="8"/>
  </w:num>
  <w:num w:numId="15" w16cid:durableId="13163004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6256780">
    <w:abstractNumId w:val="0"/>
  </w:num>
  <w:num w:numId="17" w16cid:durableId="1214806080">
    <w:abstractNumId w:val="15"/>
  </w:num>
  <w:num w:numId="18" w16cid:durableId="1484616396">
    <w:abstractNumId w:val="26"/>
  </w:num>
  <w:num w:numId="19" w16cid:durableId="214465397">
    <w:abstractNumId w:val="4"/>
  </w:num>
  <w:num w:numId="20" w16cid:durableId="191194155">
    <w:abstractNumId w:val="13"/>
  </w:num>
  <w:num w:numId="21" w16cid:durableId="863983099">
    <w:abstractNumId w:val="7"/>
  </w:num>
  <w:num w:numId="22" w16cid:durableId="1390030043">
    <w:abstractNumId w:val="16"/>
  </w:num>
  <w:num w:numId="23" w16cid:durableId="1669359294">
    <w:abstractNumId w:val="10"/>
  </w:num>
  <w:num w:numId="24" w16cid:durableId="124350248">
    <w:abstractNumId w:val="5"/>
  </w:num>
  <w:num w:numId="25" w16cid:durableId="740446566">
    <w:abstractNumId w:val="3"/>
  </w:num>
  <w:num w:numId="26" w16cid:durableId="1527253744">
    <w:abstractNumId w:val="23"/>
  </w:num>
  <w:num w:numId="27" w16cid:durableId="1042244195">
    <w:abstractNumId w:val="21"/>
  </w:num>
  <w:num w:numId="28" w16cid:durableId="2052918808">
    <w:abstractNumId w:val="12"/>
  </w:num>
  <w:num w:numId="29" w16cid:durableId="7843514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48"/>
    <w:rsid w:val="0000214F"/>
    <w:rsid w:val="00002FF4"/>
    <w:rsid w:val="000035BB"/>
    <w:rsid w:val="00003790"/>
    <w:rsid w:val="00003D13"/>
    <w:rsid w:val="000125AD"/>
    <w:rsid w:val="00014F15"/>
    <w:rsid w:val="000151EA"/>
    <w:rsid w:val="00026444"/>
    <w:rsid w:val="00034518"/>
    <w:rsid w:val="000348B6"/>
    <w:rsid w:val="00050EC6"/>
    <w:rsid w:val="00062B0E"/>
    <w:rsid w:val="00063792"/>
    <w:rsid w:val="00064C5E"/>
    <w:rsid w:val="00067F47"/>
    <w:rsid w:val="000710AB"/>
    <w:rsid w:val="00090596"/>
    <w:rsid w:val="000935D3"/>
    <w:rsid w:val="000A0ECB"/>
    <w:rsid w:val="000B0EFC"/>
    <w:rsid w:val="000B343D"/>
    <w:rsid w:val="000C382F"/>
    <w:rsid w:val="000F1C31"/>
    <w:rsid w:val="000F554C"/>
    <w:rsid w:val="000F6A7F"/>
    <w:rsid w:val="000F75DC"/>
    <w:rsid w:val="000F7A3B"/>
    <w:rsid w:val="00101542"/>
    <w:rsid w:val="00111EA6"/>
    <w:rsid w:val="001207F3"/>
    <w:rsid w:val="001221A5"/>
    <w:rsid w:val="00132F24"/>
    <w:rsid w:val="00133C8D"/>
    <w:rsid w:val="00135CAB"/>
    <w:rsid w:val="0014121E"/>
    <w:rsid w:val="00142B54"/>
    <w:rsid w:val="00145C64"/>
    <w:rsid w:val="0015125D"/>
    <w:rsid w:val="00151A10"/>
    <w:rsid w:val="00155808"/>
    <w:rsid w:val="001575BE"/>
    <w:rsid w:val="00170A52"/>
    <w:rsid w:val="001761C1"/>
    <w:rsid w:val="001823BB"/>
    <w:rsid w:val="00183B47"/>
    <w:rsid w:val="00196D88"/>
    <w:rsid w:val="001A4FBA"/>
    <w:rsid w:val="001A7C66"/>
    <w:rsid w:val="001B5AE0"/>
    <w:rsid w:val="001D4CEE"/>
    <w:rsid w:val="001D5739"/>
    <w:rsid w:val="001D7414"/>
    <w:rsid w:val="001E3FE5"/>
    <w:rsid w:val="001F15D2"/>
    <w:rsid w:val="001F295A"/>
    <w:rsid w:val="001F338E"/>
    <w:rsid w:val="001F35F9"/>
    <w:rsid w:val="001F592B"/>
    <w:rsid w:val="001F6354"/>
    <w:rsid w:val="002019D0"/>
    <w:rsid w:val="0021168B"/>
    <w:rsid w:val="00221597"/>
    <w:rsid w:val="00224148"/>
    <w:rsid w:val="002244CD"/>
    <w:rsid w:val="00227221"/>
    <w:rsid w:val="00232168"/>
    <w:rsid w:val="00236DA2"/>
    <w:rsid w:val="002370F7"/>
    <w:rsid w:val="00237568"/>
    <w:rsid w:val="00244091"/>
    <w:rsid w:val="0025651F"/>
    <w:rsid w:val="0026167D"/>
    <w:rsid w:val="0026201E"/>
    <w:rsid w:val="00277A23"/>
    <w:rsid w:val="002810AD"/>
    <w:rsid w:val="00281D8F"/>
    <w:rsid w:val="00285DC6"/>
    <w:rsid w:val="00290B63"/>
    <w:rsid w:val="002A7E9C"/>
    <w:rsid w:val="002C3906"/>
    <w:rsid w:val="002C540A"/>
    <w:rsid w:val="002D1095"/>
    <w:rsid w:val="002D10C9"/>
    <w:rsid w:val="002D36A4"/>
    <w:rsid w:val="002D4870"/>
    <w:rsid w:val="002D5997"/>
    <w:rsid w:val="002E53F3"/>
    <w:rsid w:val="002F160A"/>
    <w:rsid w:val="002F242A"/>
    <w:rsid w:val="00304EA1"/>
    <w:rsid w:val="003134F0"/>
    <w:rsid w:val="003155DA"/>
    <w:rsid w:val="0031782B"/>
    <w:rsid w:val="003255B4"/>
    <w:rsid w:val="0032636D"/>
    <w:rsid w:val="0032792C"/>
    <w:rsid w:val="003429C5"/>
    <w:rsid w:val="0034415A"/>
    <w:rsid w:val="00347F17"/>
    <w:rsid w:val="0035264A"/>
    <w:rsid w:val="00360341"/>
    <w:rsid w:val="003669EA"/>
    <w:rsid w:val="003721F3"/>
    <w:rsid w:val="0039687E"/>
    <w:rsid w:val="003A584D"/>
    <w:rsid w:val="003B5B62"/>
    <w:rsid w:val="003B5FA7"/>
    <w:rsid w:val="003C3922"/>
    <w:rsid w:val="003C6FB1"/>
    <w:rsid w:val="003C7D4E"/>
    <w:rsid w:val="003D2112"/>
    <w:rsid w:val="003D5C49"/>
    <w:rsid w:val="003E2354"/>
    <w:rsid w:val="003E6631"/>
    <w:rsid w:val="003E6D75"/>
    <w:rsid w:val="003E7216"/>
    <w:rsid w:val="003F2327"/>
    <w:rsid w:val="003F29B2"/>
    <w:rsid w:val="003F6C37"/>
    <w:rsid w:val="0040286E"/>
    <w:rsid w:val="00403B94"/>
    <w:rsid w:val="004060EA"/>
    <w:rsid w:val="00406B0F"/>
    <w:rsid w:val="00411FE8"/>
    <w:rsid w:val="00413695"/>
    <w:rsid w:val="00420E0B"/>
    <w:rsid w:val="00423B99"/>
    <w:rsid w:val="00426ECF"/>
    <w:rsid w:val="004434F3"/>
    <w:rsid w:val="004449D3"/>
    <w:rsid w:val="004500ED"/>
    <w:rsid w:val="00454736"/>
    <w:rsid w:val="00455D9F"/>
    <w:rsid w:val="00470E19"/>
    <w:rsid w:val="00472DC7"/>
    <w:rsid w:val="00482E4E"/>
    <w:rsid w:val="00484DDB"/>
    <w:rsid w:val="004A1775"/>
    <w:rsid w:val="004A70F2"/>
    <w:rsid w:val="004A7D35"/>
    <w:rsid w:val="004B5175"/>
    <w:rsid w:val="004B6622"/>
    <w:rsid w:val="004C571A"/>
    <w:rsid w:val="004C6D38"/>
    <w:rsid w:val="004D1016"/>
    <w:rsid w:val="004D298A"/>
    <w:rsid w:val="004D2C55"/>
    <w:rsid w:val="004E4926"/>
    <w:rsid w:val="004E5243"/>
    <w:rsid w:val="004E6841"/>
    <w:rsid w:val="004E777D"/>
    <w:rsid w:val="00501E0E"/>
    <w:rsid w:val="00505BC2"/>
    <w:rsid w:val="00507756"/>
    <w:rsid w:val="00515142"/>
    <w:rsid w:val="005173EC"/>
    <w:rsid w:val="00522792"/>
    <w:rsid w:val="005240ED"/>
    <w:rsid w:val="00526563"/>
    <w:rsid w:val="0053050D"/>
    <w:rsid w:val="00536966"/>
    <w:rsid w:val="00542B77"/>
    <w:rsid w:val="00544788"/>
    <w:rsid w:val="00544CB4"/>
    <w:rsid w:val="005467AD"/>
    <w:rsid w:val="00575E23"/>
    <w:rsid w:val="005855BD"/>
    <w:rsid w:val="00587BB7"/>
    <w:rsid w:val="00591D91"/>
    <w:rsid w:val="0059314C"/>
    <w:rsid w:val="00593BA7"/>
    <w:rsid w:val="00595544"/>
    <w:rsid w:val="005968AB"/>
    <w:rsid w:val="005A3379"/>
    <w:rsid w:val="005B3566"/>
    <w:rsid w:val="005C0AE2"/>
    <w:rsid w:val="005C52E9"/>
    <w:rsid w:val="005D20A5"/>
    <w:rsid w:val="005D53A6"/>
    <w:rsid w:val="005E0D10"/>
    <w:rsid w:val="005E2F53"/>
    <w:rsid w:val="005E53F1"/>
    <w:rsid w:val="005F358F"/>
    <w:rsid w:val="00600651"/>
    <w:rsid w:val="00601CAC"/>
    <w:rsid w:val="00606644"/>
    <w:rsid w:val="00606FA0"/>
    <w:rsid w:val="00611287"/>
    <w:rsid w:val="00613408"/>
    <w:rsid w:val="006164C1"/>
    <w:rsid w:val="006200A5"/>
    <w:rsid w:val="00620603"/>
    <w:rsid w:val="0062454F"/>
    <w:rsid w:val="00624DE3"/>
    <w:rsid w:val="006403CF"/>
    <w:rsid w:val="00642B56"/>
    <w:rsid w:val="00646607"/>
    <w:rsid w:val="00647AC2"/>
    <w:rsid w:val="00647CD9"/>
    <w:rsid w:val="00650921"/>
    <w:rsid w:val="006509EA"/>
    <w:rsid w:val="006532BC"/>
    <w:rsid w:val="00660791"/>
    <w:rsid w:val="00670204"/>
    <w:rsid w:val="006714FD"/>
    <w:rsid w:val="0067602A"/>
    <w:rsid w:val="006937A4"/>
    <w:rsid w:val="0069406D"/>
    <w:rsid w:val="006960AF"/>
    <w:rsid w:val="006A0AE2"/>
    <w:rsid w:val="006C22DC"/>
    <w:rsid w:val="006C693F"/>
    <w:rsid w:val="006C6B5F"/>
    <w:rsid w:val="006D0342"/>
    <w:rsid w:val="006D2162"/>
    <w:rsid w:val="006D4EBC"/>
    <w:rsid w:val="006D7185"/>
    <w:rsid w:val="006E30F5"/>
    <w:rsid w:val="006E4FFC"/>
    <w:rsid w:val="006F04BC"/>
    <w:rsid w:val="00703471"/>
    <w:rsid w:val="00703771"/>
    <w:rsid w:val="0070773B"/>
    <w:rsid w:val="00710E9C"/>
    <w:rsid w:val="00711592"/>
    <w:rsid w:val="00713A3F"/>
    <w:rsid w:val="00720321"/>
    <w:rsid w:val="007219DD"/>
    <w:rsid w:val="007245D5"/>
    <w:rsid w:val="00732E57"/>
    <w:rsid w:val="00735ED9"/>
    <w:rsid w:val="00740632"/>
    <w:rsid w:val="0074261D"/>
    <w:rsid w:val="0074274E"/>
    <w:rsid w:val="00742976"/>
    <w:rsid w:val="00750793"/>
    <w:rsid w:val="00753D50"/>
    <w:rsid w:val="00754C24"/>
    <w:rsid w:val="007578FC"/>
    <w:rsid w:val="00764EBC"/>
    <w:rsid w:val="00774A60"/>
    <w:rsid w:val="007773A3"/>
    <w:rsid w:val="00790335"/>
    <w:rsid w:val="00792693"/>
    <w:rsid w:val="00793C69"/>
    <w:rsid w:val="00797469"/>
    <w:rsid w:val="00797ED5"/>
    <w:rsid w:val="007A080A"/>
    <w:rsid w:val="007A4907"/>
    <w:rsid w:val="007B040A"/>
    <w:rsid w:val="007C03D3"/>
    <w:rsid w:val="007D142F"/>
    <w:rsid w:val="007D3211"/>
    <w:rsid w:val="007D6198"/>
    <w:rsid w:val="007D654A"/>
    <w:rsid w:val="007E5F45"/>
    <w:rsid w:val="007F2B48"/>
    <w:rsid w:val="007F47DC"/>
    <w:rsid w:val="0080157F"/>
    <w:rsid w:val="00802365"/>
    <w:rsid w:val="00806BE6"/>
    <w:rsid w:val="00820626"/>
    <w:rsid w:val="00826A0F"/>
    <w:rsid w:val="00833A5C"/>
    <w:rsid w:val="008362E3"/>
    <w:rsid w:val="00844C1A"/>
    <w:rsid w:val="008472AE"/>
    <w:rsid w:val="008541D6"/>
    <w:rsid w:val="00857FE3"/>
    <w:rsid w:val="00862BA0"/>
    <w:rsid w:val="0086546D"/>
    <w:rsid w:val="008667FF"/>
    <w:rsid w:val="00870411"/>
    <w:rsid w:val="00870426"/>
    <w:rsid w:val="0087114E"/>
    <w:rsid w:val="008714AC"/>
    <w:rsid w:val="008719F1"/>
    <w:rsid w:val="00872751"/>
    <w:rsid w:val="00873F7A"/>
    <w:rsid w:val="00881AFF"/>
    <w:rsid w:val="00892238"/>
    <w:rsid w:val="0089254A"/>
    <w:rsid w:val="0089675B"/>
    <w:rsid w:val="0089776D"/>
    <w:rsid w:val="008A3009"/>
    <w:rsid w:val="008A4A18"/>
    <w:rsid w:val="008B1660"/>
    <w:rsid w:val="008B2C44"/>
    <w:rsid w:val="008B45A4"/>
    <w:rsid w:val="008C0231"/>
    <w:rsid w:val="008D04AB"/>
    <w:rsid w:val="008E2D5D"/>
    <w:rsid w:val="008E3E0E"/>
    <w:rsid w:val="008E5BE1"/>
    <w:rsid w:val="008F1E87"/>
    <w:rsid w:val="008F2C96"/>
    <w:rsid w:val="008F60FC"/>
    <w:rsid w:val="008F67D0"/>
    <w:rsid w:val="008F6CEF"/>
    <w:rsid w:val="009069AA"/>
    <w:rsid w:val="009071F7"/>
    <w:rsid w:val="00925550"/>
    <w:rsid w:val="00926470"/>
    <w:rsid w:val="0094540A"/>
    <w:rsid w:val="00947343"/>
    <w:rsid w:val="00947B65"/>
    <w:rsid w:val="00950A3F"/>
    <w:rsid w:val="0095127C"/>
    <w:rsid w:val="00952E6A"/>
    <w:rsid w:val="00960E5A"/>
    <w:rsid w:val="00966290"/>
    <w:rsid w:val="0096799E"/>
    <w:rsid w:val="00975CF2"/>
    <w:rsid w:val="00977DAE"/>
    <w:rsid w:val="009815F0"/>
    <w:rsid w:val="0098377B"/>
    <w:rsid w:val="00983A1B"/>
    <w:rsid w:val="00990C4A"/>
    <w:rsid w:val="009938D2"/>
    <w:rsid w:val="009969BC"/>
    <w:rsid w:val="00997BE9"/>
    <w:rsid w:val="009A189B"/>
    <w:rsid w:val="009B0FDF"/>
    <w:rsid w:val="009B136F"/>
    <w:rsid w:val="009B6862"/>
    <w:rsid w:val="009C1841"/>
    <w:rsid w:val="009C6AF5"/>
    <w:rsid w:val="009D1750"/>
    <w:rsid w:val="009D655F"/>
    <w:rsid w:val="009D6E8C"/>
    <w:rsid w:val="009D6EF6"/>
    <w:rsid w:val="009E4E0F"/>
    <w:rsid w:val="009F2D2F"/>
    <w:rsid w:val="009F4FD3"/>
    <w:rsid w:val="009F507A"/>
    <w:rsid w:val="00A01694"/>
    <w:rsid w:val="00A0548E"/>
    <w:rsid w:val="00A102CC"/>
    <w:rsid w:val="00A12CC4"/>
    <w:rsid w:val="00A153D6"/>
    <w:rsid w:val="00A169C7"/>
    <w:rsid w:val="00A17D98"/>
    <w:rsid w:val="00A20556"/>
    <w:rsid w:val="00A41799"/>
    <w:rsid w:val="00A41DA0"/>
    <w:rsid w:val="00A4338A"/>
    <w:rsid w:val="00A60C16"/>
    <w:rsid w:val="00A643C5"/>
    <w:rsid w:val="00A64FC7"/>
    <w:rsid w:val="00A658AA"/>
    <w:rsid w:val="00A74F22"/>
    <w:rsid w:val="00A7618C"/>
    <w:rsid w:val="00A81A31"/>
    <w:rsid w:val="00A827B1"/>
    <w:rsid w:val="00A83CE7"/>
    <w:rsid w:val="00A84071"/>
    <w:rsid w:val="00A8678F"/>
    <w:rsid w:val="00A87AF2"/>
    <w:rsid w:val="00A87D60"/>
    <w:rsid w:val="00AA1754"/>
    <w:rsid w:val="00AA2A87"/>
    <w:rsid w:val="00AA657B"/>
    <w:rsid w:val="00AC4383"/>
    <w:rsid w:val="00AC4B79"/>
    <w:rsid w:val="00AD2AF7"/>
    <w:rsid w:val="00AD4E0D"/>
    <w:rsid w:val="00AD548C"/>
    <w:rsid w:val="00AD57BC"/>
    <w:rsid w:val="00AD7996"/>
    <w:rsid w:val="00AE2BD0"/>
    <w:rsid w:val="00AF5676"/>
    <w:rsid w:val="00B00301"/>
    <w:rsid w:val="00B031F6"/>
    <w:rsid w:val="00B04DAB"/>
    <w:rsid w:val="00B050DD"/>
    <w:rsid w:val="00B14258"/>
    <w:rsid w:val="00B149B9"/>
    <w:rsid w:val="00B158EE"/>
    <w:rsid w:val="00B21F18"/>
    <w:rsid w:val="00B3015B"/>
    <w:rsid w:val="00B30FC7"/>
    <w:rsid w:val="00B3322F"/>
    <w:rsid w:val="00B34D21"/>
    <w:rsid w:val="00B36169"/>
    <w:rsid w:val="00B447BE"/>
    <w:rsid w:val="00B50A30"/>
    <w:rsid w:val="00B52729"/>
    <w:rsid w:val="00B5377A"/>
    <w:rsid w:val="00B54DC1"/>
    <w:rsid w:val="00B6624E"/>
    <w:rsid w:val="00B775BF"/>
    <w:rsid w:val="00B81125"/>
    <w:rsid w:val="00B830D0"/>
    <w:rsid w:val="00B87F26"/>
    <w:rsid w:val="00B907DE"/>
    <w:rsid w:val="00B9609F"/>
    <w:rsid w:val="00B97225"/>
    <w:rsid w:val="00BA72A7"/>
    <w:rsid w:val="00BB1B08"/>
    <w:rsid w:val="00BB36B5"/>
    <w:rsid w:val="00BB439E"/>
    <w:rsid w:val="00BC3ABC"/>
    <w:rsid w:val="00BC725E"/>
    <w:rsid w:val="00BD18E8"/>
    <w:rsid w:val="00BD6616"/>
    <w:rsid w:val="00BD743A"/>
    <w:rsid w:val="00BE397B"/>
    <w:rsid w:val="00BE615D"/>
    <w:rsid w:val="00C0782C"/>
    <w:rsid w:val="00C1583A"/>
    <w:rsid w:val="00C25248"/>
    <w:rsid w:val="00C25A25"/>
    <w:rsid w:val="00C3323F"/>
    <w:rsid w:val="00C37AC9"/>
    <w:rsid w:val="00C4486A"/>
    <w:rsid w:val="00C466BD"/>
    <w:rsid w:val="00C53406"/>
    <w:rsid w:val="00C5798E"/>
    <w:rsid w:val="00C61D85"/>
    <w:rsid w:val="00C63FCD"/>
    <w:rsid w:val="00C67C9F"/>
    <w:rsid w:val="00C76EC1"/>
    <w:rsid w:val="00C76FFA"/>
    <w:rsid w:val="00C778E0"/>
    <w:rsid w:val="00C90554"/>
    <w:rsid w:val="00C952BB"/>
    <w:rsid w:val="00C96A93"/>
    <w:rsid w:val="00CC1733"/>
    <w:rsid w:val="00CC2109"/>
    <w:rsid w:val="00CC6122"/>
    <w:rsid w:val="00CD0975"/>
    <w:rsid w:val="00CD2BAB"/>
    <w:rsid w:val="00CD5DF5"/>
    <w:rsid w:val="00CE004F"/>
    <w:rsid w:val="00CF657A"/>
    <w:rsid w:val="00D01205"/>
    <w:rsid w:val="00D016A0"/>
    <w:rsid w:val="00D100D5"/>
    <w:rsid w:val="00D121B1"/>
    <w:rsid w:val="00D2073C"/>
    <w:rsid w:val="00D242E9"/>
    <w:rsid w:val="00D34969"/>
    <w:rsid w:val="00D35336"/>
    <w:rsid w:val="00D53E00"/>
    <w:rsid w:val="00D56038"/>
    <w:rsid w:val="00D60092"/>
    <w:rsid w:val="00D66065"/>
    <w:rsid w:val="00D67161"/>
    <w:rsid w:val="00D71DE5"/>
    <w:rsid w:val="00D91D1F"/>
    <w:rsid w:val="00D96BBD"/>
    <w:rsid w:val="00DA06A0"/>
    <w:rsid w:val="00DA18BF"/>
    <w:rsid w:val="00DB094B"/>
    <w:rsid w:val="00DB5B93"/>
    <w:rsid w:val="00DC085A"/>
    <w:rsid w:val="00DC1955"/>
    <w:rsid w:val="00DD37BD"/>
    <w:rsid w:val="00DD47F7"/>
    <w:rsid w:val="00DE1670"/>
    <w:rsid w:val="00DE319F"/>
    <w:rsid w:val="00DF0EF7"/>
    <w:rsid w:val="00E023A3"/>
    <w:rsid w:val="00E05822"/>
    <w:rsid w:val="00E110F9"/>
    <w:rsid w:val="00E14FD4"/>
    <w:rsid w:val="00E237A7"/>
    <w:rsid w:val="00E26900"/>
    <w:rsid w:val="00E26C7A"/>
    <w:rsid w:val="00E32511"/>
    <w:rsid w:val="00E32A8E"/>
    <w:rsid w:val="00E42522"/>
    <w:rsid w:val="00E63253"/>
    <w:rsid w:val="00E714E8"/>
    <w:rsid w:val="00E72740"/>
    <w:rsid w:val="00E73B30"/>
    <w:rsid w:val="00E74899"/>
    <w:rsid w:val="00E75041"/>
    <w:rsid w:val="00E768B1"/>
    <w:rsid w:val="00E919AC"/>
    <w:rsid w:val="00E92BFB"/>
    <w:rsid w:val="00E92D9F"/>
    <w:rsid w:val="00E977A3"/>
    <w:rsid w:val="00EA46C7"/>
    <w:rsid w:val="00EB2744"/>
    <w:rsid w:val="00EB5A9F"/>
    <w:rsid w:val="00EB714B"/>
    <w:rsid w:val="00EC45F1"/>
    <w:rsid w:val="00ED6583"/>
    <w:rsid w:val="00ED6AC0"/>
    <w:rsid w:val="00EE243A"/>
    <w:rsid w:val="00EF2074"/>
    <w:rsid w:val="00EF559A"/>
    <w:rsid w:val="00EF73A8"/>
    <w:rsid w:val="00F00790"/>
    <w:rsid w:val="00F04863"/>
    <w:rsid w:val="00F04B57"/>
    <w:rsid w:val="00F20624"/>
    <w:rsid w:val="00F220B3"/>
    <w:rsid w:val="00F22931"/>
    <w:rsid w:val="00F267A0"/>
    <w:rsid w:val="00F30E6D"/>
    <w:rsid w:val="00F334F1"/>
    <w:rsid w:val="00F3401F"/>
    <w:rsid w:val="00F351D7"/>
    <w:rsid w:val="00F361DA"/>
    <w:rsid w:val="00F36C87"/>
    <w:rsid w:val="00F44CDE"/>
    <w:rsid w:val="00F464D6"/>
    <w:rsid w:val="00F50492"/>
    <w:rsid w:val="00F552FB"/>
    <w:rsid w:val="00F6023D"/>
    <w:rsid w:val="00F61C8B"/>
    <w:rsid w:val="00F636E1"/>
    <w:rsid w:val="00F65C77"/>
    <w:rsid w:val="00F718FF"/>
    <w:rsid w:val="00F94B2A"/>
    <w:rsid w:val="00FA350E"/>
    <w:rsid w:val="00FA7A8D"/>
    <w:rsid w:val="00FB1B8C"/>
    <w:rsid w:val="00FC0036"/>
    <w:rsid w:val="00FC6283"/>
    <w:rsid w:val="00FC6B4E"/>
    <w:rsid w:val="00FC7458"/>
    <w:rsid w:val="00FC796E"/>
    <w:rsid w:val="00FF15B4"/>
    <w:rsid w:val="00FF2D92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922E"/>
  <w15:docId w15:val="{9FE39227-7764-4E18-BE59-C2A2EE4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ECF"/>
  </w:style>
  <w:style w:type="paragraph" w:styleId="1">
    <w:name w:val="heading 1"/>
    <w:basedOn w:val="a"/>
    <w:next w:val="a"/>
    <w:link w:val="10"/>
    <w:uiPriority w:val="9"/>
    <w:qFormat/>
    <w:rsid w:val="00CD0975"/>
    <w:pPr>
      <w:keepNext/>
      <w:tabs>
        <w:tab w:val="left" w:pos="61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514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51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16A0"/>
    <w:pPr>
      <w:ind w:left="720"/>
      <w:contextualSpacing/>
    </w:pPr>
  </w:style>
  <w:style w:type="paragraph" w:customStyle="1" w:styleId="Default">
    <w:name w:val="Default"/>
    <w:rsid w:val="00A01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pispole">
    <w:name w:val="opis_pole"/>
    <w:basedOn w:val="a"/>
    <w:rsid w:val="0006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poleabz">
    <w:name w:val="opis_pole_abz"/>
    <w:basedOn w:val="a"/>
    <w:rsid w:val="0006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62B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61C8B"/>
    <w:rPr>
      <w:b/>
      <w:bCs/>
    </w:rPr>
  </w:style>
  <w:style w:type="paragraph" w:styleId="a7">
    <w:name w:val="Balloon Text"/>
    <w:basedOn w:val="a"/>
    <w:link w:val="a8"/>
    <w:semiHidden/>
    <w:unhideWhenUsed/>
    <w:rsid w:val="0069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7A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unhideWhenUsed/>
    <w:rsid w:val="00290B6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90B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90B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0B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90B63"/>
    <w:rPr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rsid w:val="006532BC"/>
  </w:style>
  <w:style w:type="paragraph" w:styleId="ae">
    <w:name w:val="No Spacing"/>
    <w:uiPriority w:val="1"/>
    <w:qFormat/>
    <w:rsid w:val="00D96BB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сновной текст_"/>
    <w:link w:val="21"/>
    <w:rsid w:val="00232168"/>
    <w:rPr>
      <w:shd w:val="clear" w:color="auto" w:fill="FFFFFF"/>
    </w:rPr>
  </w:style>
  <w:style w:type="paragraph" w:customStyle="1" w:styleId="21">
    <w:name w:val="Основной текст2"/>
    <w:basedOn w:val="a"/>
    <w:link w:val="af"/>
    <w:rsid w:val="00232168"/>
    <w:pPr>
      <w:widowControl w:val="0"/>
      <w:shd w:val="clear" w:color="auto" w:fill="FFFFFF"/>
      <w:spacing w:after="540" w:line="283" w:lineRule="exact"/>
      <w:ind w:hanging="580"/>
      <w:jc w:val="center"/>
    </w:pPr>
  </w:style>
  <w:style w:type="table" w:styleId="af0">
    <w:name w:val="Table Grid"/>
    <w:basedOn w:val="a1"/>
    <w:uiPriority w:val="59"/>
    <w:rsid w:val="0023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a"/>
    <w:next w:val="a"/>
    <w:uiPriority w:val="99"/>
    <w:rsid w:val="007E5F45"/>
    <w:pPr>
      <w:autoSpaceDE w:val="0"/>
      <w:autoSpaceDN w:val="0"/>
      <w:adjustRightInd w:val="0"/>
      <w:spacing w:after="0" w:line="160" w:lineRule="atLeast"/>
    </w:pPr>
    <w:rPr>
      <w:rFonts w:ascii="AHPOC L+ Helios" w:eastAsiaTheme="minorEastAsia" w:hAnsi="AHPOC L+ Helios"/>
      <w:sz w:val="24"/>
      <w:szCs w:val="24"/>
      <w:lang w:eastAsia="ru-RU"/>
    </w:rPr>
  </w:style>
  <w:style w:type="paragraph" w:customStyle="1" w:styleId="11">
    <w:name w:val="Обычный1"/>
    <w:rsid w:val="007E5F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37AC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15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514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515142"/>
  </w:style>
  <w:style w:type="paragraph" w:customStyle="1" w:styleId="22">
    <w:name w:val="Çàãîëîâîê 2"/>
    <w:basedOn w:val="a"/>
    <w:next w:val="a"/>
    <w:rsid w:val="00515142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2">
    <w:name w:val="Body Text"/>
    <w:basedOn w:val="a"/>
    <w:link w:val="af3"/>
    <w:rsid w:val="005151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15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515142"/>
    <w:pPr>
      <w:spacing w:after="0" w:line="400" w:lineRule="atLeast"/>
      <w:ind w:firstLine="64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Знак"/>
    <w:basedOn w:val="a"/>
    <w:semiHidden/>
    <w:rsid w:val="0051514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opisdvfldbeg">
    <w:name w:val="opis_dvfld_beg"/>
    <w:basedOn w:val="a"/>
    <w:rsid w:val="00515142"/>
    <w:pPr>
      <w:spacing w:before="57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23">
    <w:name w:val="Body Text 2"/>
    <w:basedOn w:val="a"/>
    <w:link w:val="24"/>
    <w:rsid w:val="005151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15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3">
    <w:name w:val="Сетка таблицы1"/>
    <w:basedOn w:val="a1"/>
    <w:next w:val="af0"/>
    <w:rsid w:val="0051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515142"/>
  </w:style>
  <w:style w:type="paragraph" w:styleId="af5">
    <w:name w:val="header"/>
    <w:basedOn w:val="a"/>
    <w:link w:val="af6"/>
    <w:rsid w:val="00515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515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rsid w:val="00515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5151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3"/>
    <w:basedOn w:val="a"/>
    <w:rsid w:val="00515142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14">
    <w:name w:val="Основной текст1"/>
    <w:rsid w:val="00515142"/>
    <w:rPr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D0975"/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  <w:style w:type="character" w:customStyle="1" w:styleId="25">
    <w:name w:val="Колонтитул (2)_"/>
    <w:basedOn w:val="a0"/>
    <w:link w:val="26"/>
    <w:rsid w:val="00F464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9">
    <w:name w:val="Другое_"/>
    <w:basedOn w:val="a0"/>
    <w:link w:val="afa"/>
    <w:rsid w:val="00F464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Колонтитул (2)"/>
    <w:basedOn w:val="a"/>
    <w:link w:val="25"/>
    <w:rsid w:val="00F464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Другое"/>
    <w:basedOn w:val="a"/>
    <w:link w:val="af9"/>
    <w:rsid w:val="00F464D6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afb">
    <w:name w:val="Revision"/>
    <w:hidden/>
    <w:uiPriority w:val="99"/>
    <w:semiHidden/>
    <w:rsid w:val="006F04BC"/>
    <w:pPr>
      <w:spacing w:after="0" w:line="240" w:lineRule="auto"/>
    </w:pPr>
  </w:style>
  <w:style w:type="character" w:customStyle="1" w:styleId="15">
    <w:name w:val="Неразрешенное упоминание1"/>
    <w:basedOn w:val="a0"/>
    <w:uiPriority w:val="99"/>
    <w:semiHidden/>
    <w:unhideWhenUsed/>
    <w:rsid w:val="00735ED9"/>
    <w:rPr>
      <w:color w:val="605E5C"/>
      <w:shd w:val="clear" w:color="auto" w:fill="E1DFDD"/>
    </w:rPr>
  </w:style>
  <w:style w:type="character" w:styleId="afc">
    <w:name w:val="Placeholder Text"/>
    <w:basedOn w:val="a0"/>
    <w:uiPriority w:val="99"/>
    <w:semiHidden/>
    <w:rsid w:val="006C693F"/>
    <w:rPr>
      <w:color w:val="808080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C2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zdravnadzor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ec.eaeuni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harmasynte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zdrav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rm@roszdravnadzo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64D6-5FE6-46DB-9404-0409EA08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4938</Words>
  <Characters>28148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Ирина Анатольевна</dc:creator>
  <cp:keywords/>
  <dc:description/>
  <cp:lastModifiedBy>Примафарм 365a</cp:lastModifiedBy>
  <cp:revision>2</cp:revision>
  <cp:lastPrinted>2020-09-17T07:04:00Z</cp:lastPrinted>
  <dcterms:created xsi:type="dcterms:W3CDTF">2023-06-07T09:19:00Z</dcterms:created>
  <dcterms:modified xsi:type="dcterms:W3CDTF">2023-06-07T09:19:00Z</dcterms:modified>
</cp:coreProperties>
</file>